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20"/>
          <w:tab w:val="left" w:pos="2592"/>
          <w:tab w:val="center" w:pos="4535"/>
        </w:tabs>
        <w:adjustRightInd w:val="0"/>
        <w:snapToGrid w:val="0"/>
        <w:jc w:val="center"/>
        <w:rPr>
          <w:rFonts w:hint="eastAsia" w:ascii="方正小标宋简体" w:eastAsia="方正小标宋简体"/>
          <w:color w:val="FF0000"/>
          <w:sz w:val="60"/>
        </w:rPr>
      </w:pPr>
      <w:bookmarkStart w:id="7" w:name="_GoBack"/>
      <w:bookmarkEnd w:id="7"/>
      <w:bookmarkStart w:id="0" w:name="文字2"/>
    </w:p>
    <w:p>
      <w:pPr>
        <w:tabs>
          <w:tab w:val="left" w:pos="1620"/>
          <w:tab w:val="left" w:pos="2592"/>
          <w:tab w:val="center" w:pos="4535"/>
        </w:tabs>
        <w:adjustRightInd w:val="0"/>
        <w:snapToGrid w:val="0"/>
        <w:jc w:val="center"/>
        <w:rPr>
          <w:rFonts w:ascii="方正小标宋简体" w:eastAsia="方正小标宋简体"/>
          <w:color w:val="FF0000"/>
          <w:spacing w:val="40"/>
          <w:sz w:val="72"/>
          <w:szCs w:val="72"/>
        </w:rPr>
      </w:pPr>
      <w:r>
        <w:rPr>
          <w:rFonts w:hint="eastAsia" w:ascii="方正小标宋简体" w:eastAsia="方正小标宋简体"/>
          <w:color w:val="FF0000"/>
          <w:sz w:val="60"/>
        </w:rPr>
        <w:t>北京师范大学校长办公室文件</w:t>
      </w:r>
    </w:p>
    <w:bookmarkEnd w:id="0"/>
    <w:p>
      <w:pPr>
        <w:jc w:val="center"/>
        <w:outlineLvl w:val="0"/>
        <w:rPr>
          <w:rFonts w:ascii="仿宋_GB2312" w:hAnsi="华文仿宋" w:eastAsia="仿宋_GB2312"/>
          <w:sz w:val="32"/>
          <w:szCs w:val="30"/>
        </w:rPr>
      </w:pPr>
    </w:p>
    <w:p>
      <w:pPr>
        <w:jc w:val="center"/>
        <w:outlineLvl w:val="0"/>
        <w:rPr>
          <w:rFonts w:ascii="仿宋" w:hAnsi="仿宋" w:eastAsia="仿宋"/>
          <w:snapToGrid w:val="0"/>
          <w:kern w:val="0"/>
          <w:sz w:val="32"/>
          <w:szCs w:val="30"/>
        </w:rPr>
      </w:pPr>
      <w:r>
        <w:rPr>
          <w:rFonts w:hint="eastAsia" w:ascii="仿宋_GB2312" w:hAnsi="华文仿宋" w:eastAsia="仿宋_GB2312"/>
          <w:sz w:val="32"/>
          <w:szCs w:val="30"/>
        </w:rPr>
        <w:t>师校办发〔</w:t>
      </w:r>
      <w:r>
        <w:rPr>
          <w:rFonts w:ascii="仿宋_GB2312" w:hAnsi="华文仿宋" w:eastAsia="仿宋_GB2312"/>
          <w:sz w:val="32"/>
          <w:szCs w:val="30"/>
        </w:rPr>
        <w:t>20</w:t>
      </w:r>
      <w:r>
        <w:rPr>
          <w:rFonts w:hint="eastAsia" w:ascii="仿宋_GB2312" w:hAnsi="华文仿宋" w:eastAsia="仿宋_GB2312"/>
          <w:sz w:val="32"/>
          <w:szCs w:val="30"/>
          <w:lang w:val="en-US" w:eastAsia="zh-CN"/>
        </w:rPr>
        <w:t>21</w:t>
      </w:r>
      <w:r>
        <w:rPr>
          <w:rFonts w:ascii="仿宋_GB2312" w:hAnsi="华文仿宋" w:eastAsia="仿宋_GB2312"/>
          <w:sz w:val="32"/>
          <w:szCs w:val="30"/>
        </w:rPr>
        <w:t>〕</w:t>
      </w:r>
      <w:r>
        <w:rPr>
          <w:rFonts w:hint="eastAsia" w:ascii="仿宋_GB2312" w:hAnsi="华文仿宋" w:eastAsia="仿宋_GB2312"/>
          <w:sz w:val="32"/>
          <w:szCs w:val="30"/>
          <w:lang w:val="en-US" w:eastAsia="zh-CN"/>
        </w:rPr>
        <w:t>17</w:t>
      </w:r>
      <w:r>
        <w:rPr>
          <w:rFonts w:ascii="仿宋_GB2312" w:hAnsi="华文仿宋" w:eastAsia="仿宋_GB2312"/>
          <w:sz w:val="32"/>
          <w:szCs w:val="30"/>
        </w:rPr>
        <w:t>号</w:t>
      </w:r>
    </w:p>
    <w:p>
      <w:r>
        <mc:AlternateContent>
          <mc:Choice Requires="wps">
            <w:drawing>
              <wp:anchor distT="0" distB="0" distL="114300" distR="114300" simplePos="0" relativeHeight="251660288" behindDoc="0" locked="0" layoutInCell="1" allowOverlap="1">
                <wp:simplePos x="0" y="0"/>
                <wp:positionH relativeFrom="column">
                  <wp:posOffset>-62230</wp:posOffset>
                </wp:positionH>
                <wp:positionV relativeFrom="paragraph">
                  <wp:posOffset>158115</wp:posOffset>
                </wp:positionV>
                <wp:extent cx="5615940" cy="0"/>
                <wp:effectExtent l="13970" t="15240" r="18415" b="1333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25400">
                          <a:solidFill>
                            <a:srgbClr val="FF0000"/>
                          </a:solidFill>
                          <a:round/>
                        </a:ln>
                      </wps:spPr>
                      <wps:bodyPr/>
                    </wps:wsp>
                  </a:graphicData>
                </a:graphic>
              </wp:anchor>
            </w:drawing>
          </mc:Choice>
          <mc:Fallback>
            <w:pict>
              <v:line id="_x0000_s1026" o:spid="_x0000_s1026" o:spt="20" style="position:absolute;left:0pt;margin-left:-4.9pt;margin-top:12.45pt;height:0pt;width:442.2pt;z-index:251660288;mso-width-relative:page;mso-height-relative:page;" filled="f" stroked="t" coordsize="21600,21600" o:gfxdata="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Wb2bt1wAAAAgBAAAPAAAAAAAAAAEAIAAAACIAAABkcnMv&#10;ZG93bnJldi54bWxQSwECFAAUAAAACACHTuJALk7ZfcsBAABdAwAADgAAAAAAAAABACAAAAAmAQAA&#10;ZHJzL2Uyb0RvYy54bWxQSwUGAAAAAAYABgBZAQAAYwUAAAAA&#10;">
                <v:fill on="f" focussize="0,0"/>
                <v:stroke weight="2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13"/>
          <w:szCs w:val="16"/>
        </w:rPr>
      </w:pPr>
    </w:p>
    <w:p>
      <w:pPr>
        <w:spacing w:line="560" w:lineRule="exact"/>
        <w:jc w:val="center"/>
        <w:rPr>
          <w:rFonts w:ascii="方正小标宋简体" w:hAnsi="仿宋" w:eastAsia="方正小标宋简体"/>
          <w:b/>
          <w:bCs/>
          <w:sz w:val="44"/>
          <w:szCs w:val="44"/>
        </w:rPr>
      </w:pPr>
      <w:r>
        <w:rPr>
          <w:rFonts w:hint="eastAsia" w:ascii="方正小标宋简体" w:hAnsi="仿宋" w:eastAsia="方正小标宋简体"/>
          <w:b/>
          <w:bCs/>
          <w:sz w:val="44"/>
          <w:szCs w:val="44"/>
        </w:rPr>
        <w:t>北京师范大学校长办公室</w:t>
      </w:r>
    </w:p>
    <w:p>
      <w:pPr>
        <w:spacing w:line="560" w:lineRule="exact"/>
        <w:jc w:val="center"/>
        <w:rPr>
          <w:rFonts w:ascii="方正小标宋简体" w:hAnsi="仿宋" w:eastAsia="方正小标宋简体"/>
          <w:b/>
          <w:bCs/>
          <w:spacing w:val="-11"/>
          <w:sz w:val="44"/>
          <w:szCs w:val="44"/>
        </w:rPr>
      </w:pPr>
      <w:r>
        <w:rPr>
          <w:rFonts w:hint="eastAsia" w:ascii="方正小标宋简体" w:hAnsi="仿宋" w:eastAsia="方正小标宋简体"/>
          <w:b/>
          <w:bCs/>
          <w:sz w:val="44"/>
          <w:szCs w:val="44"/>
        </w:rPr>
        <w:t>关于印发</w:t>
      </w:r>
      <w:r>
        <w:rPr>
          <w:rFonts w:hint="eastAsia" w:ascii="方正小标宋简体" w:hAnsi="仿宋" w:eastAsia="方正小标宋简体"/>
          <w:b/>
          <w:bCs/>
          <w:spacing w:val="-11"/>
          <w:sz w:val="44"/>
          <w:szCs w:val="44"/>
        </w:rPr>
        <w:t>《大型仪器设备论证实施细则（</w:t>
      </w:r>
      <w:r>
        <w:rPr>
          <w:rFonts w:ascii="方正小标宋简体" w:hAnsi="仿宋" w:eastAsia="方正小标宋简体"/>
          <w:b/>
          <w:bCs/>
          <w:spacing w:val="-11"/>
          <w:sz w:val="44"/>
          <w:szCs w:val="44"/>
        </w:rPr>
        <w:t>试行</w:t>
      </w:r>
      <w:r>
        <w:rPr>
          <w:rFonts w:hint="eastAsia" w:ascii="方正小标宋简体" w:hAnsi="仿宋" w:eastAsia="方正小标宋简体"/>
          <w:b/>
          <w:bCs/>
          <w:spacing w:val="-11"/>
          <w:sz w:val="44"/>
          <w:szCs w:val="44"/>
        </w:rPr>
        <w:t>）》</w:t>
      </w:r>
    </w:p>
    <w:p>
      <w:pPr>
        <w:spacing w:line="560" w:lineRule="exact"/>
        <w:jc w:val="center"/>
        <w:rPr>
          <w:rFonts w:ascii="方正小标宋简体" w:hAnsi="仿宋" w:eastAsia="方正小标宋简体"/>
          <w:b/>
          <w:bCs/>
          <w:sz w:val="44"/>
          <w:szCs w:val="44"/>
        </w:rPr>
      </w:pPr>
      <w:r>
        <w:rPr>
          <w:rFonts w:hint="eastAsia" w:ascii="方正小标宋简体" w:hAnsi="仿宋" w:eastAsia="方正小标宋简体"/>
          <w:b/>
          <w:bCs/>
          <w:spacing w:val="-11"/>
          <w:sz w:val="44"/>
          <w:szCs w:val="44"/>
        </w:rPr>
        <w:t>《仪器设备验收建账实施细则（试行）》</w:t>
      </w:r>
      <w:r>
        <w:rPr>
          <w:rFonts w:hint="eastAsia" w:ascii="方正小标宋简体" w:hAnsi="仿宋" w:eastAsia="方正小标宋简体"/>
          <w:b/>
          <w:bCs/>
          <w:sz w:val="44"/>
          <w:szCs w:val="44"/>
        </w:rPr>
        <w:t>的通知</w:t>
      </w:r>
    </w:p>
    <w:p>
      <w:pPr>
        <w:spacing w:line="560" w:lineRule="exact"/>
        <w:jc w:val="center"/>
        <w:rPr>
          <w:rFonts w:ascii="方正小标宋简体" w:hAnsi="仿宋" w:eastAsia="方正小标宋简体"/>
          <w:sz w:val="30"/>
          <w:szCs w:val="30"/>
        </w:rPr>
      </w:pPr>
    </w:p>
    <w:p>
      <w:pPr>
        <w:spacing w:line="56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校内各单位：</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为全面规范和加强学校大型仪器设备管理，进一步健全和完善仪器设备验收及出入库制度，根据上级相关法规及文件要求，结合我校设备管理实际情况，学校研究制定了《北京师范大学大型仪器设备论证实施细则（</w:t>
      </w:r>
      <w:r>
        <w:rPr>
          <w:rFonts w:ascii="楷体_GB2312" w:hAnsi="楷体_GB2312" w:eastAsia="楷体_GB2312" w:cs="楷体_GB2312"/>
          <w:sz w:val="32"/>
          <w:szCs w:val="32"/>
        </w:rPr>
        <w:t>试行</w:t>
      </w:r>
      <w:r>
        <w:rPr>
          <w:rFonts w:hint="eastAsia" w:ascii="楷体_GB2312" w:hAnsi="楷体_GB2312" w:eastAsia="楷体_GB2312" w:cs="楷体_GB2312"/>
          <w:sz w:val="32"/>
          <w:szCs w:val="32"/>
        </w:rPr>
        <w:t>）》《北京师范大学仪器设备验收建账实施细则（试行）》，经学校国有资产监督管理委员会审议通过，现予以印发。</w:t>
      </w:r>
    </w:p>
    <w:p>
      <w:pPr>
        <w:spacing w:line="560" w:lineRule="exact"/>
        <w:ind w:firstLine="640" w:firstLineChars="200"/>
        <w:rPr>
          <w:rFonts w:ascii="楷体_GB2312" w:hAnsi="楷体_GB2312" w:eastAsia="楷体_GB2312" w:cs="楷体_GB2312"/>
          <w:sz w:val="32"/>
          <w:szCs w:val="32"/>
        </w:rPr>
      </w:pPr>
    </w:p>
    <w:p>
      <w:pPr>
        <w:spacing w:line="560" w:lineRule="exact"/>
        <w:ind w:firstLine="640" w:firstLineChars="200"/>
        <w:rPr>
          <w:rFonts w:ascii="楷体_GB2312" w:hAnsi="楷体_GB2312" w:eastAsia="楷体_GB2312" w:cs="楷体_GB2312"/>
          <w:sz w:val="32"/>
          <w:szCs w:val="32"/>
        </w:rPr>
      </w:pPr>
    </w:p>
    <w:p>
      <w:pPr>
        <w:spacing w:line="560" w:lineRule="exact"/>
        <w:ind w:firstLine="640" w:firstLineChars="200"/>
        <w:rPr>
          <w:rFonts w:ascii="楷体_GB2312" w:hAnsi="楷体_GB2312" w:eastAsia="楷体_GB2312" w:cs="楷体_GB2312"/>
          <w:sz w:val="32"/>
          <w:szCs w:val="32"/>
        </w:rPr>
      </w:pPr>
    </w:p>
    <w:p>
      <w:pPr>
        <w:spacing w:line="56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 xml:space="preserve">                         北京师范大学</w:t>
      </w:r>
      <w:r>
        <w:rPr>
          <w:rFonts w:hint="eastAsia" w:ascii="楷体_GB2312" w:hAnsi="楷体_GB2312" w:eastAsia="楷体_GB2312" w:cs="楷体_GB2312"/>
          <w:sz w:val="32"/>
          <w:szCs w:val="32"/>
        </w:rPr>
        <w:t>校长办公室</w:t>
      </w:r>
    </w:p>
    <w:p>
      <w:pPr>
        <w:spacing w:line="56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 xml:space="preserve">                     </w:t>
      </w:r>
      <w:r>
        <w:rPr>
          <w:rFonts w:hint="eastAsia" w:ascii="楷体_GB2312" w:hAnsi="楷体_GB2312" w:eastAsia="楷体_GB2312" w:cs="楷体_GB2312"/>
          <w:sz w:val="32"/>
          <w:szCs w:val="32"/>
        </w:rPr>
        <w:t xml:space="preserve"> </w:t>
      </w:r>
      <w:r>
        <w:rPr>
          <w:rFonts w:ascii="楷体_GB2312" w:hAnsi="楷体_GB2312" w:eastAsia="楷体_GB2312" w:cs="楷体_GB2312"/>
          <w:sz w:val="32"/>
          <w:szCs w:val="32"/>
        </w:rPr>
        <w:t xml:space="preserve"> </w:t>
      </w:r>
      <w:r>
        <w:rPr>
          <w:rFonts w:hint="eastAsia" w:ascii="楷体_GB2312" w:hAnsi="楷体_GB2312" w:eastAsia="楷体_GB2312" w:cs="楷体_GB2312"/>
          <w:sz w:val="32"/>
          <w:szCs w:val="32"/>
        </w:rPr>
        <w:t xml:space="preserve">   </w:t>
      </w:r>
      <w:r>
        <w:rPr>
          <w:rFonts w:ascii="楷体_GB2312" w:hAnsi="楷体_GB2312" w:eastAsia="楷体_GB2312" w:cs="楷体_GB2312"/>
          <w:sz w:val="32"/>
          <w:szCs w:val="32"/>
        </w:rPr>
        <w:t xml:space="preserve">  2021年12</w:t>
      </w:r>
      <w:r>
        <w:rPr>
          <w:rFonts w:hint="eastAsia" w:ascii="楷体_GB2312" w:hAnsi="楷体_GB2312" w:eastAsia="楷体_GB2312" w:cs="楷体_GB2312"/>
          <w:sz w:val="32"/>
          <w:szCs w:val="32"/>
        </w:rPr>
        <w:t>月2</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 xml:space="preserve">日  </w:t>
      </w:r>
    </w:p>
    <w:p>
      <w:pPr>
        <w:spacing w:line="560" w:lineRule="exact"/>
        <w:jc w:val="center"/>
        <w:rPr>
          <w:rFonts w:ascii="方正小标宋简体" w:hAnsi="微软雅黑" w:eastAsia="方正小标宋简体" w:cs="宋体"/>
          <w:color w:val="000000"/>
          <w:kern w:val="0"/>
          <w:sz w:val="44"/>
          <w:szCs w:val="44"/>
        </w:rPr>
      </w:pPr>
      <w:r>
        <w:rPr>
          <w:rFonts w:hint="eastAsia" w:ascii="方正小标宋简体" w:hAnsi="微软雅黑" w:eastAsia="方正小标宋简体" w:cs="宋体"/>
          <w:color w:val="000000"/>
          <w:kern w:val="0"/>
          <w:sz w:val="44"/>
          <w:szCs w:val="44"/>
        </w:rPr>
        <w:br w:type="page"/>
      </w:r>
      <w:r>
        <w:rPr>
          <w:rFonts w:hint="eastAsia" w:ascii="方正小标宋简体" w:hAnsi="微软雅黑" w:eastAsia="方正小标宋简体" w:cs="宋体"/>
          <w:b/>
          <w:bCs/>
          <w:color w:val="000000"/>
          <w:kern w:val="0"/>
          <w:sz w:val="44"/>
          <w:szCs w:val="44"/>
        </w:rPr>
        <w:t>北京师范大学大型仪器设备论证实施细则</w:t>
      </w:r>
    </w:p>
    <w:p>
      <w:pPr>
        <w:spacing w:line="560" w:lineRule="exact"/>
        <w:jc w:val="center"/>
        <w:rPr>
          <w:rFonts w:ascii="方正小标宋简体" w:hAnsi="微软雅黑" w:eastAsia="方正小标宋简体" w:cs="宋体"/>
          <w:b/>
          <w:bCs/>
          <w:color w:val="000000"/>
          <w:kern w:val="36"/>
          <w:sz w:val="44"/>
          <w:szCs w:val="44"/>
        </w:rPr>
      </w:pPr>
      <w:r>
        <w:rPr>
          <w:rFonts w:hint="eastAsia" w:ascii="方正小标宋简体" w:hAnsi="微软雅黑" w:eastAsia="方正小标宋简体" w:cs="宋体"/>
          <w:b/>
          <w:bCs/>
          <w:color w:val="000000"/>
          <w:kern w:val="0"/>
          <w:sz w:val="44"/>
          <w:szCs w:val="44"/>
        </w:rPr>
        <w:t>（试行）</w:t>
      </w:r>
    </w:p>
    <w:p>
      <w:pPr>
        <w:spacing w:before="280" w:beforeLines="50" w:after="280" w:afterLines="50" w:line="560" w:lineRule="exact"/>
        <w:jc w:val="center"/>
        <w:rPr>
          <w:rFonts w:ascii="黑体" w:hAnsi="黑体" w:eastAsia="黑体"/>
          <w:sz w:val="32"/>
          <w:szCs w:val="32"/>
        </w:rPr>
      </w:pPr>
      <w:r>
        <w:rPr>
          <w:rFonts w:hint="eastAsia" w:ascii="黑体" w:hAnsi="黑体" w:eastAsia="黑体"/>
          <w:sz w:val="32"/>
          <w:szCs w:val="32"/>
        </w:rPr>
        <w:t>第一章  总  则</w:t>
      </w:r>
    </w:p>
    <w:p>
      <w:pPr>
        <w:spacing w:line="560" w:lineRule="exact"/>
        <w:ind w:firstLine="640" w:firstLineChars="200"/>
        <w:rPr>
          <w:rFonts w:ascii="仿宋_GB2312" w:hAnsi="楷体" w:eastAsia="仿宋_GB2312" w:cs="宋体"/>
          <w:kern w:val="0"/>
          <w:sz w:val="32"/>
          <w:szCs w:val="32"/>
        </w:rPr>
      </w:pPr>
      <w:r>
        <w:rPr>
          <w:rFonts w:hint="eastAsia" w:ascii="黑体" w:hAnsi="黑体" w:eastAsia="黑体"/>
          <w:sz w:val="32"/>
          <w:szCs w:val="32"/>
        </w:rPr>
        <w:t xml:space="preserve">第一条 </w:t>
      </w:r>
      <w:r>
        <w:rPr>
          <w:rFonts w:hint="eastAsia" w:ascii="仿宋_GB2312" w:hAnsi="楷体" w:eastAsia="仿宋_GB2312" w:cs="宋体"/>
          <w:b/>
          <w:kern w:val="0"/>
          <w:sz w:val="32"/>
          <w:szCs w:val="32"/>
        </w:rPr>
        <w:t xml:space="preserve"> </w:t>
      </w:r>
      <w:r>
        <w:rPr>
          <w:rFonts w:hint="eastAsia" w:ascii="仿宋_GB2312" w:hAnsi="楷体" w:eastAsia="仿宋_GB2312" w:cs="宋体"/>
          <w:kern w:val="0"/>
          <w:sz w:val="32"/>
          <w:szCs w:val="32"/>
        </w:rPr>
        <w:t>为加强学校大型仪器设备管理，充分发挥其使用效益，根据教育部《高等学校仪器设备管理办法》（教高〔2000〕9号）、《中央级新购大型科研仪器设备查重评议管理办法》（财科教〔2019〕1号）、《科研仪器设备采购实施细则》（师校发〔2020〕39号）、《北京师范大学国有资产管理办法》（师校发〔2015〕41号）等相关法规及文件精神，制定本细则。</w:t>
      </w:r>
    </w:p>
    <w:p>
      <w:pPr>
        <w:spacing w:line="560" w:lineRule="exact"/>
        <w:ind w:firstLine="640" w:firstLineChars="200"/>
        <w:rPr>
          <w:rFonts w:ascii="仿宋_GB2312" w:hAnsi="楷体" w:eastAsia="仿宋_GB2312" w:cs="宋体"/>
          <w:kern w:val="0"/>
          <w:sz w:val="32"/>
          <w:szCs w:val="32"/>
        </w:rPr>
      </w:pPr>
      <w:r>
        <w:rPr>
          <w:rFonts w:hint="eastAsia" w:ascii="黑体" w:hAnsi="黑体" w:eastAsia="黑体"/>
          <w:sz w:val="32"/>
          <w:szCs w:val="32"/>
        </w:rPr>
        <w:t>第二条</w:t>
      </w:r>
      <w:r>
        <w:rPr>
          <w:rFonts w:hint="eastAsia" w:ascii="仿宋_GB2312" w:hAnsi="楷体" w:eastAsia="仿宋_GB2312" w:cs="宋体"/>
          <w:kern w:val="0"/>
          <w:sz w:val="32"/>
          <w:szCs w:val="32"/>
        </w:rPr>
        <w:t xml:space="preserve">  本细则适用于学校单台套总价为20万元（含）以上的设备。</w:t>
      </w:r>
    </w:p>
    <w:p>
      <w:pPr>
        <w:spacing w:line="560" w:lineRule="exact"/>
        <w:ind w:firstLine="640" w:firstLineChars="200"/>
        <w:rPr>
          <w:rFonts w:ascii="仿宋_GB2312" w:hAnsi="楷体" w:eastAsia="仿宋_GB2312" w:cs="宋体"/>
          <w:kern w:val="0"/>
          <w:sz w:val="32"/>
          <w:szCs w:val="32"/>
        </w:rPr>
      </w:pPr>
      <w:r>
        <w:rPr>
          <w:rFonts w:hint="eastAsia" w:ascii="仿宋_GB2312" w:hAnsi="楷体" w:eastAsia="仿宋_GB2312" w:cs="宋体"/>
          <w:kern w:val="0"/>
          <w:sz w:val="32"/>
          <w:szCs w:val="32"/>
        </w:rPr>
        <w:t>（一）购置单台套总价40万元（含）以上的设备（此类统称大型仪器设备），由学校统一组织论证，由实验室安全与设备管理处（以下简称设备处）负责管理。</w:t>
      </w:r>
    </w:p>
    <w:p>
      <w:pPr>
        <w:spacing w:line="560" w:lineRule="exact"/>
        <w:ind w:firstLine="640" w:firstLineChars="200"/>
        <w:rPr>
          <w:rFonts w:ascii="仿宋_GB2312" w:hAnsi="楷体" w:eastAsia="仿宋_GB2312" w:cs="宋体"/>
          <w:kern w:val="0"/>
          <w:sz w:val="32"/>
          <w:szCs w:val="32"/>
        </w:rPr>
      </w:pPr>
      <w:r>
        <w:rPr>
          <w:rFonts w:hint="eastAsia" w:ascii="仿宋_GB2312" w:hAnsi="楷体" w:eastAsia="仿宋_GB2312" w:cs="宋体"/>
          <w:kern w:val="0"/>
          <w:sz w:val="32"/>
          <w:szCs w:val="32"/>
        </w:rPr>
        <w:t>（二）购置单台套总价20万元（含）-40万元（不含）的设备，按照设备购置单位审批流程，自行组织论证。审批通过后，报设备处留档。</w:t>
      </w:r>
    </w:p>
    <w:p>
      <w:pPr>
        <w:spacing w:line="560" w:lineRule="exact"/>
        <w:ind w:firstLine="640" w:firstLineChars="200"/>
        <w:rPr>
          <w:rFonts w:ascii="仿宋_GB2312" w:hAnsi="楷体" w:eastAsia="仿宋_GB2312" w:cs="宋体"/>
          <w:kern w:val="0"/>
          <w:sz w:val="32"/>
          <w:szCs w:val="32"/>
        </w:rPr>
      </w:pPr>
      <w:r>
        <w:rPr>
          <w:rFonts w:hint="eastAsia" w:ascii="黑体" w:hAnsi="黑体" w:eastAsia="黑体"/>
          <w:sz w:val="32"/>
          <w:szCs w:val="32"/>
        </w:rPr>
        <w:t xml:space="preserve">第三条 </w:t>
      </w:r>
      <w:r>
        <w:rPr>
          <w:rFonts w:hint="eastAsia" w:ascii="仿宋_GB2312" w:hAnsi="Times New Roman" w:eastAsia="仿宋_GB2312"/>
          <w:sz w:val="32"/>
          <w:szCs w:val="32"/>
        </w:rPr>
        <w:t xml:space="preserve"> </w:t>
      </w:r>
      <w:r>
        <w:rPr>
          <w:rFonts w:hint="eastAsia" w:ascii="仿宋_GB2312" w:hAnsi="楷体" w:eastAsia="仿宋_GB2312" w:cs="宋体"/>
          <w:kern w:val="0"/>
          <w:sz w:val="32"/>
          <w:szCs w:val="32"/>
        </w:rPr>
        <w:t>大型仪器设备的购置论证，遵循“统筹规划、分级论证”的原则。</w:t>
      </w:r>
    </w:p>
    <w:p>
      <w:pPr>
        <w:spacing w:before="280" w:beforeLines="50" w:after="280" w:afterLines="50" w:line="560" w:lineRule="exact"/>
        <w:jc w:val="center"/>
        <w:rPr>
          <w:rFonts w:ascii="黑体" w:hAnsi="黑体" w:eastAsia="黑体"/>
          <w:sz w:val="32"/>
          <w:szCs w:val="32"/>
        </w:rPr>
      </w:pPr>
      <w:r>
        <w:rPr>
          <w:rFonts w:hint="eastAsia" w:ascii="黑体" w:hAnsi="黑体" w:eastAsia="黑体"/>
          <w:sz w:val="32"/>
          <w:szCs w:val="32"/>
        </w:rPr>
        <w:t>第二章  设备论证管理职责</w:t>
      </w:r>
    </w:p>
    <w:p>
      <w:pPr>
        <w:spacing w:line="560" w:lineRule="exact"/>
        <w:ind w:firstLine="640" w:firstLineChars="200"/>
        <w:rPr>
          <w:rFonts w:ascii="仿宋_GB2312" w:hAnsi="楷体" w:eastAsia="仿宋_GB2312" w:cs="宋体"/>
          <w:kern w:val="0"/>
          <w:sz w:val="32"/>
          <w:szCs w:val="32"/>
        </w:rPr>
      </w:pPr>
      <w:r>
        <w:rPr>
          <w:rFonts w:hint="eastAsia" w:ascii="黑体" w:hAnsi="黑体" w:eastAsia="黑体"/>
          <w:sz w:val="32"/>
          <w:szCs w:val="32"/>
        </w:rPr>
        <w:t xml:space="preserve">第四条 </w:t>
      </w:r>
      <w:r>
        <w:rPr>
          <w:rFonts w:hint="eastAsia" w:ascii="仿宋_GB2312" w:hAnsi="黑体" w:eastAsia="仿宋_GB2312"/>
          <w:sz w:val="32"/>
          <w:szCs w:val="32"/>
        </w:rPr>
        <w:t xml:space="preserve"> 实验室安全与</w:t>
      </w:r>
      <w:r>
        <w:rPr>
          <w:rFonts w:hint="eastAsia" w:ascii="仿宋_GB2312" w:hAnsi="楷体" w:eastAsia="仿宋_GB2312" w:cs="宋体"/>
          <w:spacing w:val="-15"/>
          <w:kern w:val="0"/>
          <w:sz w:val="32"/>
          <w:szCs w:val="32"/>
        </w:rPr>
        <w:t>设备管理处（以下简称设备处）</w:t>
      </w:r>
      <w:r>
        <w:rPr>
          <w:rFonts w:hint="eastAsia" w:ascii="仿宋_GB2312" w:hAnsi="楷体" w:eastAsia="仿宋_GB2312" w:cs="宋体"/>
          <w:bCs/>
          <w:spacing w:val="-15"/>
          <w:kern w:val="0"/>
          <w:sz w:val="32"/>
          <w:szCs w:val="32"/>
        </w:rPr>
        <w:t>是学</w:t>
      </w:r>
      <w:r>
        <w:rPr>
          <w:rFonts w:hint="eastAsia" w:ascii="仿宋_GB2312" w:hAnsi="楷体" w:eastAsia="仿宋_GB2312" w:cs="宋体"/>
          <w:bCs/>
          <w:kern w:val="0"/>
          <w:sz w:val="32"/>
          <w:szCs w:val="32"/>
        </w:rPr>
        <w:t>校</w:t>
      </w:r>
      <w:r>
        <w:rPr>
          <w:rFonts w:hint="eastAsia" w:ascii="仿宋_GB2312" w:hAnsi="楷体" w:eastAsia="仿宋_GB2312" w:cs="宋体"/>
          <w:kern w:val="0"/>
          <w:sz w:val="32"/>
          <w:szCs w:val="32"/>
        </w:rPr>
        <w:t>设备论证工作的主要管理和实施单位，其职责为：</w:t>
      </w:r>
    </w:p>
    <w:p>
      <w:pPr>
        <w:spacing w:line="560" w:lineRule="exact"/>
        <w:ind w:firstLine="525"/>
        <w:rPr>
          <w:rFonts w:ascii="仿宋_GB2312" w:hAnsi="楷体" w:eastAsia="仿宋_GB2312" w:cs="宋体"/>
          <w:kern w:val="0"/>
          <w:sz w:val="32"/>
          <w:szCs w:val="32"/>
        </w:rPr>
      </w:pPr>
      <w:r>
        <w:rPr>
          <w:rFonts w:hint="eastAsia" w:ascii="仿宋_GB2312" w:hAnsi="楷体" w:eastAsia="仿宋_GB2312" w:cs="宋体"/>
          <w:kern w:val="0"/>
          <w:sz w:val="32"/>
          <w:szCs w:val="32"/>
        </w:rPr>
        <w:t>（一）制定并执行学校的设备论证管理制度；</w:t>
      </w:r>
    </w:p>
    <w:p>
      <w:pPr>
        <w:spacing w:line="560" w:lineRule="exact"/>
        <w:ind w:firstLine="525"/>
        <w:rPr>
          <w:rFonts w:ascii="仿宋_GB2312" w:hAnsi="楷体" w:eastAsia="仿宋_GB2312" w:cs="宋体"/>
          <w:kern w:val="0"/>
          <w:sz w:val="32"/>
          <w:szCs w:val="32"/>
        </w:rPr>
      </w:pPr>
      <w:r>
        <w:rPr>
          <w:rFonts w:hint="eastAsia" w:ascii="仿宋_GB2312" w:hAnsi="楷体" w:eastAsia="仿宋_GB2312" w:cs="宋体"/>
          <w:kern w:val="0"/>
          <w:sz w:val="32"/>
          <w:szCs w:val="32"/>
        </w:rPr>
        <w:t>（二）组织协调校内各单位开展设备购置规划；</w:t>
      </w:r>
    </w:p>
    <w:p>
      <w:pPr>
        <w:spacing w:line="560" w:lineRule="exact"/>
        <w:ind w:firstLine="525"/>
        <w:rPr>
          <w:rFonts w:ascii="仿宋_GB2312" w:hAnsi="微软雅黑" w:eastAsia="仿宋_GB2312" w:cs="宋体"/>
          <w:kern w:val="0"/>
          <w:sz w:val="32"/>
          <w:szCs w:val="32"/>
        </w:rPr>
      </w:pPr>
      <w:r>
        <w:rPr>
          <w:rFonts w:hint="eastAsia" w:ascii="仿宋_GB2312" w:hAnsi="楷体" w:eastAsia="仿宋_GB2312" w:cs="宋体"/>
          <w:kern w:val="0"/>
          <w:sz w:val="32"/>
          <w:szCs w:val="32"/>
        </w:rPr>
        <w:t>（三）组织专家进行论证评审；</w:t>
      </w:r>
    </w:p>
    <w:p>
      <w:pPr>
        <w:spacing w:line="560" w:lineRule="exact"/>
        <w:ind w:firstLine="525"/>
        <w:rPr>
          <w:rFonts w:ascii="仿宋_GB2312" w:hAnsi="楷体" w:eastAsia="仿宋_GB2312" w:cs="宋体"/>
          <w:kern w:val="0"/>
          <w:sz w:val="32"/>
          <w:szCs w:val="32"/>
        </w:rPr>
      </w:pPr>
      <w:r>
        <w:rPr>
          <w:rFonts w:hint="eastAsia" w:ascii="仿宋_GB2312" w:hAnsi="楷体" w:eastAsia="仿宋_GB2312" w:cs="宋体"/>
          <w:kern w:val="0"/>
          <w:sz w:val="32"/>
          <w:szCs w:val="32"/>
        </w:rPr>
        <w:t>（四）审核设备论证报告；</w:t>
      </w:r>
    </w:p>
    <w:p>
      <w:pPr>
        <w:spacing w:line="560" w:lineRule="exact"/>
        <w:ind w:firstLine="525"/>
        <w:rPr>
          <w:rFonts w:ascii="仿宋_GB2312" w:hAnsi="楷体" w:eastAsia="仿宋_GB2312" w:cs="宋体"/>
          <w:kern w:val="0"/>
          <w:sz w:val="32"/>
          <w:szCs w:val="32"/>
        </w:rPr>
      </w:pPr>
      <w:bookmarkStart w:id="1" w:name="_Hlk86916349"/>
      <w:r>
        <w:rPr>
          <w:rFonts w:hint="eastAsia" w:ascii="仿宋_GB2312" w:hAnsi="楷体" w:eastAsia="仿宋_GB2312" w:cs="宋体"/>
          <w:kern w:val="0"/>
          <w:sz w:val="32"/>
          <w:szCs w:val="32"/>
        </w:rPr>
        <w:t>（五）建立和维护拟购设备库；</w:t>
      </w:r>
    </w:p>
    <w:bookmarkEnd w:id="1"/>
    <w:p>
      <w:pPr>
        <w:spacing w:line="560" w:lineRule="exact"/>
        <w:ind w:firstLine="525"/>
        <w:rPr>
          <w:rFonts w:ascii="仿宋_GB2312" w:hAnsi="微软雅黑" w:eastAsia="仿宋_GB2312" w:cs="宋体"/>
          <w:kern w:val="0"/>
          <w:sz w:val="32"/>
          <w:szCs w:val="32"/>
        </w:rPr>
      </w:pPr>
      <w:r>
        <w:rPr>
          <w:rFonts w:hint="eastAsia" w:ascii="仿宋_GB2312" w:hAnsi="楷体" w:eastAsia="仿宋_GB2312" w:cs="宋体"/>
          <w:kern w:val="0"/>
          <w:sz w:val="32"/>
          <w:szCs w:val="32"/>
        </w:rPr>
        <w:t>（六）建立和维护设备论证专家库；</w:t>
      </w:r>
    </w:p>
    <w:p>
      <w:pPr>
        <w:spacing w:line="560" w:lineRule="exact"/>
        <w:ind w:firstLine="525"/>
        <w:rPr>
          <w:rFonts w:ascii="仿宋_GB2312" w:hAnsi="楷体" w:eastAsia="仿宋_GB2312" w:cs="宋体"/>
          <w:kern w:val="0"/>
          <w:sz w:val="32"/>
          <w:szCs w:val="32"/>
        </w:rPr>
      </w:pPr>
      <w:r>
        <w:rPr>
          <w:rFonts w:hint="eastAsia" w:ascii="仿宋_GB2312" w:hAnsi="楷体" w:eastAsia="仿宋_GB2312" w:cs="宋体"/>
          <w:kern w:val="0"/>
          <w:sz w:val="32"/>
          <w:szCs w:val="32"/>
        </w:rPr>
        <w:t>（七）归档管理设备论证资料。</w:t>
      </w:r>
    </w:p>
    <w:p>
      <w:pPr>
        <w:spacing w:line="560" w:lineRule="exact"/>
        <w:ind w:firstLine="640" w:firstLineChars="200"/>
        <w:rPr>
          <w:rFonts w:ascii="仿宋_GB2312" w:hAnsi="微软雅黑" w:eastAsia="仿宋_GB2312" w:cs="宋体"/>
          <w:kern w:val="0"/>
          <w:sz w:val="32"/>
          <w:szCs w:val="32"/>
        </w:rPr>
      </w:pPr>
      <w:r>
        <w:rPr>
          <w:rFonts w:hint="eastAsia" w:ascii="黑体" w:hAnsi="黑体" w:eastAsia="黑体"/>
          <w:sz w:val="32"/>
          <w:szCs w:val="32"/>
        </w:rPr>
        <w:t xml:space="preserve">第五条 </w:t>
      </w:r>
      <w:r>
        <w:rPr>
          <w:rFonts w:hint="eastAsia" w:ascii="仿宋_GB2312" w:hAnsi="楷体" w:eastAsia="仿宋_GB2312" w:cs="宋体"/>
          <w:b/>
          <w:bCs/>
          <w:kern w:val="0"/>
          <w:sz w:val="32"/>
          <w:szCs w:val="32"/>
        </w:rPr>
        <w:t xml:space="preserve"> </w:t>
      </w:r>
      <w:r>
        <w:rPr>
          <w:rFonts w:hint="eastAsia" w:ascii="仿宋_GB2312" w:hAnsi="楷体" w:eastAsia="仿宋_GB2312" w:cs="宋体"/>
          <w:bCs/>
          <w:kern w:val="0"/>
          <w:sz w:val="32"/>
          <w:szCs w:val="32"/>
        </w:rPr>
        <w:t>各二级单位负责本单位设备论证相关工作，其职责为：</w:t>
      </w:r>
    </w:p>
    <w:p>
      <w:pPr>
        <w:spacing w:line="560" w:lineRule="exact"/>
        <w:ind w:firstLine="525"/>
        <w:jc w:val="left"/>
        <w:rPr>
          <w:rFonts w:ascii="仿宋_GB2312" w:hAnsi="微软雅黑" w:eastAsia="仿宋_GB2312" w:cs="宋体"/>
          <w:kern w:val="0"/>
          <w:sz w:val="32"/>
          <w:szCs w:val="32"/>
        </w:rPr>
      </w:pPr>
      <w:r>
        <w:rPr>
          <w:rFonts w:hint="eastAsia" w:ascii="仿宋_GB2312" w:hAnsi="楷体" w:eastAsia="仿宋_GB2312" w:cs="宋体"/>
          <w:kern w:val="0"/>
          <w:sz w:val="32"/>
          <w:szCs w:val="32"/>
        </w:rPr>
        <w:t>（一）制定本单位设备论证实施细则，并报设备处备案；</w:t>
      </w:r>
    </w:p>
    <w:p>
      <w:pPr>
        <w:spacing w:line="560" w:lineRule="exact"/>
        <w:ind w:firstLine="525"/>
        <w:jc w:val="left"/>
        <w:rPr>
          <w:rFonts w:ascii="仿宋_GB2312" w:hAnsi="微软雅黑" w:eastAsia="仿宋_GB2312" w:cs="宋体"/>
          <w:kern w:val="0"/>
          <w:sz w:val="32"/>
          <w:szCs w:val="32"/>
        </w:rPr>
      </w:pPr>
      <w:r>
        <w:rPr>
          <w:rFonts w:hint="eastAsia" w:ascii="仿宋_GB2312" w:hAnsi="楷体" w:eastAsia="仿宋_GB2312" w:cs="宋体"/>
          <w:kern w:val="0"/>
          <w:sz w:val="32"/>
          <w:szCs w:val="32"/>
        </w:rPr>
        <w:t>（二）做好本单位设备购置规划，并组织填报设备论证报告；</w:t>
      </w:r>
    </w:p>
    <w:p>
      <w:pPr>
        <w:spacing w:line="560" w:lineRule="exact"/>
        <w:ind w:firstLine="525"/>
        <w:jc w:val="left"/>
        <w:rPr>
          <w:rFonts w:ascii="仿宋_GB2312" w:hAnsi="微软雅黑" w:eastAsia="仿宋_GB2312" w:cs="宋体"/>
          <w:kern w:val="0"/>
          <w:sz w:val="32"/>
          <w:szCs w:val="32"/>
        </w:rPr>
      </w:pPr>
      <w:r>
        <w:rPr>
          <w:rFonts w:hint="eastAsia" w:ascii="仿宋_GB2312" w:hAnsi="楷体" w:eastAsia="仿宋_GB2312" w:cs="宋体"/>
          <w:kern w:val="0"/>
          <w:sz w:val="32"/>
          <w:szCs w:val="32"/>
        </w:rPr>
        <w:t>（三）组织本单位总价40万元（不含）以下设备的购置论证；</w:t>
      </w:r>
    </w:p>
    <w:p>
      <w:pPr>
        <w:spacing w:line="560" w:lineRule="exact"/>
        <w:ind w:firstLine="525"/>
        <w:jc w:val="left"/>
        <w:rPr>
          <w:rFonts w:ascii="仿宋_GB2312" w:hAnsi="楷体" w:eastAsia="仿宋_GB2312" w:cs="宋体"/>
          <w:kern w:val="0"/>
          <w:sz w:val="32"/>
          <w:szCs w:val="32"/>
        </w:rPr>
      </w:pPr>
      <w:r>
        <w:rPr>
          <w:rFonts w:hint="eastAsia" w:ascii="仿宋_GB2312" w:hAnsi="楷体" w:eastAsia="仿宋_GB2312" w:cs="宋体"/>
          <w:kern w:val="0"/>
          <w:sz w:val="32"/>
          <w:szCs w:val="32"/>
        </w:rPr>
        <w:t>（四）配合学校进行本单位总价40万元（含）以上大型仪器设备的论证；</w:t>
      </w:r>
    </w:p>
    <w:p>
      <w:pPr>
        <w:spacing w:line="560" w:lineRule="exact"/>
        <w:ind w:firstLine="525"/>
        <w:rPr>
          <w:rFonts w:ascii="仿宋_GB2312" w:hAnsi="微软雅黑" w:eastAsia="仿宋_GB2312" w:cs="宋体"/>
          <w:kern w:val="0"/>
          <w:sz w:val="32"/>
          <w:szCs w:val="32"/>
        </w:rPr>
      </w:pPr>
      <w:r>
        <w:rPr>
          <w:rFonts w:hint="eastAsia" w:ascii="仿宋_GB2312" w:hAnsi="楷体" w:eastAsia="仿宋_GB2312" w:cs="宋体"/>
          <w:kern w:val="0"/>
          <w:sz w:val="32"/>
          <w:szCs w:val="32"/>
        </w:rPr>
        <w:t>（五）归档管理本单位设备论证资料。</w:t>
      </w:r>
    </w:p>
    <w:p>
      <w:pPr>
        <w:spacing w:line="560" w:lineRule="exact"/>
        <w:ind w:firstLine="640" w:firstLineChars="200"/>
        <w:rPr>
          <w:rFonts w:ascii="仿宋_GB2312" w:hAnsi="微软雅黑" w:eastAsia="仿宋_GB2312" w:cs="宋体"/>
          <w:kern w:val="0"/>
          <w:sz w:val="32"/>
          <w:szCs w:val="32"/>
        </w:rPr>
      </w:pPr>
      <w:r>
        <w:rPr>
          <w:rFonts w:hint="eastAsia" w:ascii="黑体" w:hAnsi="黑体" w:eastAsia="黑体"/>
          <w:sz w:val="32"/>
          <w:szCs w:val="32"/>
        </w:rPr>
        <w:t xml:space="preserve">第六条 </w:t>
      </w:r>
      <w:r>
        <w:rPr>
          <w:rFonts w:hint="eastAsia" w:ascii="仿宋_GB2312" w:hAnsi="楷体" w:eastAsia="仿宋_GB2312" w:cs="宋体"/>
          <w:b/>
          <w:bCs/>
          <w:kern w:val="0"/>
          <w:sz w:val="32"/>
          <w:szCs w:val="32"/>
        </w:rPr>
        <w:t xml:space="preserve"> </w:t>
      </w:r>
      <w:r>
        <w:rPr>
          <w:rFonts w:hint="eastAsia" w:ascii="仿宋_GB2312" w:hAnsi="楷体" w:eastAsia="仿宋_GB2312" w:cs="宋体"/>
          <w:kern w:val="0"/>
          <w:sz w:val="32"/>
          <w:szCs w:val="32"/>
        </w:rPr>
        <w:t>设备处负责</w:t>
      </w:r>
      <w:r>
        <w:rPr>
          <w:rFonts w:hint="eastAsia" w:ascii="仿宋_GB2312" w:hAnsi="楷体" w:eastAsia="仿宋_GB2312" w:cs="宋体"/>
          <w:bCs/>
          <w:kern w:val="0"/>
          <w:sz w:val="32"/>
          <w:szCs w:val="32"/>
        </w:rPr>
        <w:t>审核设备所在实验室安全相关事项，国有资产管理处和总务长办公室（后勤管理处）负责审核设备建设环境相关事项。若涉及其他特殊要求，由相关职能部门负责审核。</w:t>
      </w:r>
    </w:p>
    <w:p>
      <w:pPr>
        <w:spacing w:before="280" w:beforeLines="50" w:after="280" w:afterLines="50" w:line="560" w:lineRule="exact"/>
        <w:jc w:val="center"/>
        <w:rPr>
          <w:rFonts w:ascii="黑体" w:hAnsi="黑体" w:eastAsia="黑体"/>
          <w:sz w:val="32"/>
          <w:szCs w:val="32"/>
        </w:rPr>
      </w:pPr>
      <w:r>
        <w:rPr>
          <w:rFonts w:hint="eastAsia" w:ascii="黑体" w:hAnsi="黑体" w:eastAsia="黑体"/>
          <w:sz w:val="32"/>
          <w:szCs w:val="32"/>
        </w:rPr>
        <w:t>第三章  论证流程</w:t>
      </w:r>
    </w:p>
    <w:p>
      <w:pPr>
        <w:spacing w:line="560" w:lineRule="exact"/>
        <w:ind w:firstLine="640" w:firstLineChars="200"/>
        <w:rPr>
          <w:rFonts w:ascii="仿宋_GB2312" w:hAnsi="楷体" w:eastAsia="仿宋_GB2312" w:cs="宋体"/>
          <w:b/>
          <w:kern w:val="0"/>
          <w:sz w:val="32"/>
          <w:szCs w:val="32"/>
        </w:rPr>
      </w:pPr>
      <w:r>
        <w:rPr>
          <w:rFonts w:hint="eastAsia" w:ascii="黑体" w:hAnsi="黑体" w:eastAsia="黑体"/>
          <w:sz w:val="32"/>
          <w:szCs w:val="32"/>
        </w:rPr>
        <w:t>第七条</w:t>
      </w:r>
      <w:r>
        <w:rPr>
          <w:rFonts w:hint="eastAsia" w:ascii="仿宋_GB2312" w:hAnsi="楷体" w:eastAsia="仿宋_GB2312" w:cs="宋体"/>
          <w:b/>
          <w:kern w:val="0"/>
          <w:sz w:val="32"/>
          <w:szCs w:val="32"/>
        </w:rPr>
        <w:t xml:space="preserve"> </w:t>
      </w:r>
      <w:r>
        <w:rPr>
          <w:rFonts w:hint="eastAsia" w:ascii="黑体" w:hAnsi="黑体" w:eastAsia="黑体"/>
          <w:sz w:val="32"/>
          <w:szCs w:val="32"/>
        </w:rPr>
        <w:t xml:space="preserve"> 论证报告的编写</w:t>
      </w:r>
    </w:p>
    <w:p>
      <w:pPr>
        <w:spacing w:line="560" w:lineRule="exact"/>
        <w:ind w:firstLine="640" w:firstLineChars="200"/>
        <w:rPr>
          <w:rFonts w:ascii="仿宋_GB2312" w:hAnsi="楷体" w:eastAsia="仿宋_GB2312" w:cs="宋体"/>
          <w:kern w:val="0"/>
          <w:sz w:val="32"/>
          <w:szCs w:val="32"/>
        </w:rPr>
      </w:pPr>
      <w:r>
        <w:rPr>
          <w:rFonts w:hint="eastAsia" w:ascii="仿宋_GB2312" w:hAnsi="楷体" w:eastAsia="仿宋_GB2312" w:cs="宋体"/>
          <w:kern w:val="0"/>
          <w:sz w:val="32"/>
          <w:szCs w:val="32"/>
        </w:rPr>
        <w:t>（一）拟购设备申请人对设备建设的必要性、可行性、设备选型、安装环境要求、使用效益、人员配备等方面进行充分调研；</w:t>
      </w:r>
    </w:p>
    <w:p>
      <w:pPr>
        <w:spacing w:line="560" w:lineRule="exact"/>
        <w:ind w:firstLine="640" w:firstLineChars="200"/>
        <w:rPr>
          <w:rFonts w:ascii="仿宋_GB2312" w:hAnsi="楷体" w:eastAsia="仿宋_GB2312" w:cs="宋体"/>
          <w:kern w:val="0"/>
          <w:sz w:val="32"/>
          <w:szCs w:val="32"/>
        </w:rPr>
      </w:pPr>
      <w:r>
        <w:rPr>
          <w:rFonts w:hint="eastAsia" w:ascii="仿宋_GB2312" w:hAnsi="楷体" w:eastAsia="仿宋_GB2312" w:cs="宋体"/>
          <w:kern w:val="0"/>
          <w:sz w:val="32"/>
          <w:szCs w:val="32"/>
        </w:rPr>
        <w:t>（二）按照规定的格式填写设备论证报告，其中总价40万元（含）以上大型仪器设备需在学校采购管理系统上发起论证，并填写相关信息。拟购置进口设备的论证报告，需明确填写国产设备不能满足的具体指标或参数，以及必须采用该指标或参数的原因；</w:t>
      </w:r>
    </w:p>
    <w:p>
      <w:pPr>
        <w:spacing w:line="560" w:lineRule="exact"/>
        <w:ind w:firstLine="525"/>
        <w:rPr>
          <w:rFonts w:ascii="仿宋_GB2312" w:hAnsi="楷体" w:eastAsia="仿宋_GB2312" w:cs="宋体"/>
          <w:kern w:val="0"/>
          <w:sz w:val="32"/>
          <w:szCs w:val="32"/>
        </w:rPr>
      </w:pPr>
      <w:r>
        <w:rPr>
          <w:rFonts w:hint="eastAsia" w:ascii="仿宋_GB2312" w:hAnsi="楷体" w:eastAsia="仿宋_GB2312" w:cs="宋体"/>
          <w:kern w:val="0"/>
          <w:sz w:val="32"/>
          <w:szCs w:val="32"/>
        </w:rPr>
        <w:t>（三）申请人所在二级单位指定专人对拟购设备的论证报告进行初审，包括填写内容的真实性、完整性等；</w:t>
      </w:r>
    </w:p>
    <w:p>
      <w:pPr>
        <w:spacing w:line="560" w:lineRule="exact"/>
        <w:ind w:firstLine="525"/>
        <w:rPr>
          <w:rFonts w:ascii="仿宋_GB2312" w:hAnsi="楷体" w:eastAsia="仿宋_GB2312" w:cs="宋体"/>
          <w:kern w:val="0"/>
          <w:sz w:val="32"/>
          <w:szCs w:val="32"/>
        </w:rPr>
      </w:pPr>
      <w:bookmarkStart w:id="2" w:name="_Hlk86936090"/>
      <w:r>
        <w:rPr>
          <w:rFonts w:hint="eastAsia" w:ascii="仿宋_GB2312" w:hAnsi="楷体" w:eastAsia="仿宋_GB2312" w:cs="宋体"/>
          <w:kern w:val="0"/>
          <w:sz w:val="32"/>
          <w:szCs w:val="32"/>
        </w:rPr>
        <w:t>（四）申请人所在二级单位</w:t>
      </w:r>
      <w:bookmarkEnd w:id="2"/>
      <w:r>
        <w:rPr>
          <w:rFonts w:hint="eastAsia" w:ascii="仿宋_GB2312" w:hAnsi="楷体" w:eastAsia="仿宋_GB2312" w:cs="宋体"/>
          <w:kern w:val="0"/>
          <w:sz w:val="32"/>
          <w:szCs w:val="32"/>
        </w:rPr>
        <w:t>负责人对拟购设备的论证报告内容进行审批，总价40万元（不含）以下设备可在本单位自行组织专家论证后统一审批。</w:t>
      </w:r>
    </w:p>
    <w:p>
      <w:pPr>
        <w:spacing w:line="560" w:lineRule="exact"/>
        <w:ind w:firstLine="640" w:firstLineChars="200"/>
        <w:rPr>
          <w:rFonts w:ascii="仿宋_GB2312" w:hAnsi="楷体" w:eastAsia="仿宋_GB2312" w:cs="宋体"/>
          <w:b/>
          <w:kern w:val="0"/>
          <w:sz w:val="32"/>
          <w:szCs w:val="32"/>
        </w:rPr>
      </w:pPr>
      <w:r>
        <w:rPr>
          <w:rFonts w:hint="eastAsia" w:ascii="黑体" w:hAnsi="黑体" w:eastAsia="黑体"/>
          <w:sz w:val="32"/>
          <w:szCs w:val="32"/>
        </w:rPr>
        <w:t>第八条</w:t>
      </w:r>
      <w:r>
        <w:rPr>
          <w:rFonts w:hint="eastAsia" w:ascii="仿宋_GB2312" w:hAnsi="楷体" w:eastAsia="仿宋_GB2312" w:cs="宋体"/>
          <w:b/>
          <w:kern w:val="0"/>
          <w:sz w:val="32"/>
          <w:szCs w:val="32"/>
        </w:rPr>
        <w:t xml:space="preserve"> </w:t>
      </w:r>
      <w:r>
        <w:rPr>
          <w:rFonts w:hint="eastAsia" w:ascii="黑体" w:hAnsi="黑体" w:eastAsia="黑体"/>
          <w:sz w:val="32"/>
          <w:szCs w:val="32"/>
        </w:rPr>
        <w:t xml:space="preserve"> 论证报告的初审与查重</w:t>
      </w:r>
    </w:p>
    <w:p>
      <w:pPr>
        <w:spacing w:line="560" w:lineRule="exact"/>
        <w:ind w:firstLine="525"/>
        <w:rPr>
          <w:rFonts w:ascii="仿宋_GB2312" w:hAnsi="楷体" w:eastAsia="仿宋_GB2312" w:cs="宋体"/>
          <w:kern w:val="0"/>
          <w:sz w:val="32"/>
          <w:szCs w:val="32"/>
        </w:rPr>
      </w:pPr>
      <w:r>
        <w:rPr>
          <w:rFonts w:hint="eastAsia" w:ascii="仿宋_GB2312" w:hAnsi="楷体" w:eastAsia="仿宋_GB2312" w:cs="宋体"/>
          <w:kern w:val="0"/>
          <w:sz w:val="32"/>
          <w:szCs w:val="32"/>
        </w:rPr>
        <w:t>（一）总价40万元（含）以上大型仪器设备的论证报告由设备处和相关职能部门进行初审。总价40万元（含）以下设备的论证报告由申请人所在二级单位指定人员进行初审。初审内容包括论证报告完整性、合理性、实验室安全、设备安装环境、人员配备、预期效益等方面。初审不通过的论证报告，退回原单位修改完善。</w:t>
      </w:r>
    </w:p>
    <w:p>
      <w:pPr>
        <w:spacing w:line="560" w:lineRule="exact"/>
        <w:ind w:firstLine="525"/>
        <w:rPr>
          <w:rFonts w:ascii="仿宋_GB2312" w:hAnsi="楷体" w:eastAsia="仿宋_GB2312" w:cs="宋体"/>
          <w:kern w:val="0"/>
          <w:sz w:val="32"/>
          <w:szCs w:val="32"/>
        </w:rPr>
      </w:pPr>
      <w:r>
        <w:rPr>
          <w:rFonts w:hint="eastAsia" w:ascii="仿宋_GB2312" w:hAnsi="楷体" w:eastAsia="仿宋_GB2312" w:cs="宋体"/>
          <w:kern w:val="0"/>
          <w:sz w:val="32"/>
          <w:szCs w:val="32"/>
        </w:rPr>
        <w:t>（二）设备论证评审前，申请人应到设备处进行设备查重。学校近期已在申请人所在</w:t>
      </w:r>
      <w:r>
        <w:rPr>
          <w:rFonts w:hint="eastAsia" w:ascii="仿宋_GB2312" w:hAnsi="楷体" w:eastAsia="仿宋_GB2312" w:cs="宋体"/>
          <w:spacing w:val="-15"/>
          <w:kern w:val="0"/>
          <w:sz w:val="32"/>
          <w:szCs w:val="32"/>
        </w:rPr>
        <w:t>校区</w:t>
      </w:r>
      <w:r>
        <w:rPr>
          <w:rFonts w:hint="eastAsia" w:ascii="仿宋_GB2312" w:hAnsi="楷体" w:eastAsia="仿宋_GB2312" w:cs="宋体"/>
          <w:kern w:val="0"/>
          <w:sz w:val="32"/>
          <w:szCs w:val="32"/>
        </w:rPr>
        <w:t>配置同类设备且使用机时不饱满的设备，原则上认定为查重不通过，查重不通过的设备不能进入论证流程。确有特殊情况的可提供本单位盖章的书面说明，经设备处审核通过后重新进行论证。</w:t>
      </w:r>
    </w:p>
    <w:p>
      <w:pPr>
        <w:spacing w:line="560" w:lineRule="exact"/>
        <w:ind w:firstLine="525"/>
        <w:rPr>
          <w:rFonts w:ascii="仿宋_GB2312" w:hAnsi="楷体" w:eastAsia="仿宋_GB2312" w:cs="宋体"/>
          <w:kern w:val="0"/>
          <w:sz w:val="32"/>
          <w:szCs w:val="32"/>
        </w:rPr>
      </w:pPr>
      <w:r>
        <w:rPr>
          <w:rFonts w:hint="eastAsia" w:ascii="仿宋_GB2312" w:hAnsi="楷体" w:eastAsia="仿宋_GB2312" w:cs="宋体"/>
          <w:kern w:val="0"/>
          <w:sz w:val="32"/>
          <w:szCs w:val="32"/>
        </w:rPr>
        <w:t>（三）对前期购置设备使用效率低，或拒不实施共享服务的单位和个人，设备处有权暂缓其新拟购设备的论证审批。</w:t>
      </w:r>
    </w:p>
    <w:p>
      <w:pPr>
        <w:spacing w:line="560" w:lineRule="exact"/>
        <w:ind w:firstLine="640" w:firstLineChars="200"/>
        <w:rPr>
          <w:rFonts w:ascii="仿宋_GB2312" w:hAnsi="楷体" w:eastAsia="仿宋_GB2312" w:cs="宋体"/>
          <w:b/>
          <w:kern w:val="0"/>
          <w:sz w:val="32"/>
          <w:szCs w:val="32"/>
        </w:rPr>
      </w:pPr>
      <w:r>
        <w:rPr>
          <w:rFonts w:hint="eastAsia" w:ascii="黑体" w:hAnsi="黑体" w:eastAsia="黑体"/>
          <w:sz w:val="32"/>
          <w:szCs w:val="32"/>
        </w:rPr>
        <w:t>第九条</w:t>
      </w:r>
      <w:r>
        <w:rPr>
          <w:rFonts w:hint="eastAsia" w:ascii="仿宋_GB2312" w:hAnsi="楷体" w:eastAsia="仿宋_GB2312" w:cs="宋体"/>
          <w:b/>
          <w:kern w:val="0"/>
          <w:sz w:val="32"/>
          <w:szCs w:val="32"/>
        </w:rPr>
        <w:t xml:space="preserve"> </w:t>
      </w:r>
      <w:r>
        <w:rPr>
          <w:rFonts w:hint="eastAsia" w:ascii="黑体" w:hAnsi="黑体" w:eastAsia="黑体"/>
          <w:sz w:val="32"/>
          <w:szCs w:val="32"/>
        </w:rPr>
        <w:t xml:space="preserve"> 论证评审</w:t>
      </w:r>
    </w:p>
    <w:p>
      <w:pPr>
        <w:spacing w:line="560" w:lineRule="exact"/>
        <w:ind w:firstLine="525"/>
        <w:rPr>
          <w:rFonts w:ascii="仿宋_GB2312" w:hAnsi="楷体" w:eastAsia="仿宋_GB2312" w:cs="宋体"/>
          <w:kern w:val="0"/>
          <w:sz w:val="32"/>
          <w:szCs w:val="32"/>
        </w:rPr>
      </w:pPr>
      <w:r>
        <w:rPr>
          <w:rFonts w:hint="eastAsia" w:ascii="仿宋_GB2312" w:hAnsi="楷体" w:eastAsia="仿宋_GB2312" w:cs="宋体"/>
          <w:kern w:val="0"/>
          <w:sz w:val="32"/>
          <w:szCs w:val="32"/>
        </w:rPr>
        <w:t>（一）评审分为现场评审和线上评审两种形式，由评审组织单位组织评审专家进行论证。评审内容包括进口设备论证时，专家组成员中需包括一名法律专家。</w:t>
      </w:r>
    </w:p>
    <w:p>
      <w:pPr>
        <w:spacing w:line="560" w:lineRule="exact"/>
        <w:ind w:firstLine="525"/>
        <w:rPr>
          <w:rFonts w:ascii="仿宋_GB2312" w:hAnsi="楷体" w:eastAsia="仿宋_GB2312" w:cs="宋体"/>
          <w:kern w:val="0"/>
          <w:sz w:val="32"/>
          <w:szCs w:val="32"/>
        </w:rPr>
      </w:pPr>
      <w:r>
        <w:rPr>
          <w:rFonts w:hint="eastAsia" w:ascii="仿宋_GB2312" w:hAnsi="楷体" w:eastAsia="仿宋_GB2312" w:cs="宋体"/>
          <w:kern w:val="0"/>
          <w:sz w:val="32"/>
          <w:szCs w:val="32"/>
        </w:rPr>
        <w:t>（二）总价40万元（含）以上大型仪器设备论证评审以集中论证为主，每学期定期举行1-2次现场评审，根据待论证设备的累积情况，可增加现场评审的次数。</w:t>
      </w:r>
    </w:p>
    <w:p>
      <w:pPr>
        <w:spacing w:line="560" w:lineRule="exact"/>
        <w:ind w:firstLine="525"/>
        <w:rPr>
          <w:rFonts w:ascii="仿宋_GB2312" w:hAnsi="楷体" w:eastAsia="仿宋_GB2312" w:cs="宋体"/>
          <w:kern w:val="0"/>
          <w:sz w:val="32"/>
          <w:szCs w:val="32"/>
        </w:rPr>
      </w:pPr>
      <w:r>
        <w:rPr>
          <w:rFonts w:hint="eastAsia" w:ascii="仿宋_GB2312" w:hAnsi="楷体" w:eastAsia="仿宋_GB2312" w:cs="宋体"/>
          <w:kern w:val="0"/>
          <w:sz w:val="32"/>
          <w:szCs w:val="32"/>
        </w:rPr>
        <w:t>（三）专家论证意见分为论证意见和具体意见两部分，由专家签字确认。</w:t>
      </w:r>
    </w:p>
    <w:p>
      <w:pPr>
        <w:spacing w:line="560" w:lineRule="exact"/>
        <w:ind w:firstLine="525"/>
        <w:rPr>
          <w:rFonts w:ascii="仿宋_GB2312" w:hAnsi="楷体" w:eastAsia="仿宋_GB2312" w:cs="宋体"/>
          <w:kern w:val="0"/>
          <w:sz w:val="32"/>
          <w:szCs w:val="32"/>
        </w:rPr>
      </w:pPr>
      <w:r>
        <w:rPr>
          <w:rFonts w:hint="eastAsia" w:ascii="仿宋_GB2312" w:hAnsi="楷体" w:eastAsia="仿宋_GB2312" w:cs="宋体"/>
          <w:kern w:val="0"/>
          <w:sz w:val="32"/>
          <w:szCs w:val="32"/>
        </w:rPr>
        <w:t>（四）参加评审专家三分之二（含）以上同意，评议结果方可通过。论证意见和论证结果需交设备处备案。</w:t>
      </w:r>
    </w:p>
    <w:p>
      <w:pPr>
        <w:spacing w:line="560" w:lineRule="exact"/>
        <w:ind w:firstLine="640" w:firstLineChars="200"/>
        <w:rPr>
          <w:rFonts w:ascii="仿宋_GB2312" w:hAnsi="楷体" w:eastAsia="仿宋_GB2312" w:cs="宋体"/>
          <w:b/>
          <w:kern w:val="0"/>
          <w:sz w:val="32"/>
          <w:szCs w:val="32"/>
        </w:rPr>
      </w:pPr>
      <w:r>
        <w:rPr>
          <w:rFonts w:hint="eastAsia" w:ascii="黑体" w:hAnsi="黑体" w:eastAsia="黑体"/>
          <w:sz w:val="32"/>
          <w:szCs w:val="32"/>
        </w:rPr>
        <w:t>第十条</w:t>
      </w:r>
      <w:r>
        <w:rPr>
          <w:rFonts w:hint="eastAsia" w:ascii="仿宋_GB2312" w:hAnsi="楷体" w:eastAsia="仿宋_GB2312" w:cs="宋体"/>
          <w:b/>
          <w:kern w:val="0"/>
          <w:sz w:val="32"/>
          <w:szCs w:val="32"/>
        </w:rPr>
        <w:t xml:space="preserve">  </w:t>
      </w:r>
      <w:r>
        <w:rPr>
          <w:rFonts w:hint="eastAsia" w:ascii="黑体" w:hAnsi="黑体" w:eastAsia="黑体"/>
          <w:sz w:val="32"/>
          <w:szCs w:val="32"/>
        </w:rPr>
        <w:t>论证结果及使用</w:t>
      </w:r>
    </w:p>
    <w:p>
      <w:pPr>
        <w:spacing w:line="560" w:lineRule="exact"/>
        <w:ind w:firstLine="525"/>
        <w:rPr>
          <w:rFonts w:ascii="仿宋_GB2312" w:hAnsi="楷体" w:eastAsia="仿宋_GB2312" w:cs="宋体"/>
          <w:kern w:val="0"/>
          <w:sz w:val="32"/>
          <w:szCs w:val="32"/>
        </w:rPr>
      </w:pPr>
      <w:r>
        <w:rPr>
          <w:rFonts w:hint="eastAsia" w:ascii="仿宋_GB2312" w:hAnsi="楷体" w:eastAsia="仿宋_GB2312" w:cs="宋体"/>
          <w:kern w:val="0"/>
          <w:sz w:val="32"/>
          <w:szCs w:val="32"/>
        </w:rPr>
        <w:t>（一）设备论证结果将在设备处公示5个工作日，总价40万元（含）以上大型仪器设备的论证结果将报主管校领导</w:t>
      </w:r>
      <w:r>
        <w:rPr>
          <w:rFonts w:hint="eastAsia" w:ascii="仿宋_GB2312" w:hAnsi="楷体" w:eastAsia="仿宋_GB2312" w:cs="宋体"/>
          <w:spacing w:val="-15"/>
          <w:kern w:val="0"/>
          <w:sz w:val="32"/>
          <w:szCs w:val="32"/>
        </w:rPr>
        <w:t>审</w:t>
      </w:r>
      <w:r>
        <w:rPr>
          <w:rFonts w:hint="eastAsia" w:ascii="仿宋_GB2312" w:hAnsi="楷体" w:eastAsia="仿宋_GB2312" w:cs="宋体"/>
          <w:kern w:val="0"/>
          <w:sz w:val="32"/>
          <w:szCs w:val="32"/>
        </w:rPr>
        <w:t>签。</w:t>
      </w:r>
    </w:p>
    <w:p>
      <w:pPr>
        <w:spacing w:line="560" w:lineRule="exact"/>
        <w:ind w:firstLine="525"/>
        <w:rPr>
          <w:rFonts w:ascii="仿宋_GB2312" w:hAnsi="楷体" w:eastAsia="仿宋_GB2312" w:cs="宋体"/>
          <w:kern w:val="0"/>
          <w:sz w:val="32"/>
          <w:szCs w:val="32"/>
        </w:rPr>
      </w:pPr>
      <w:r>
        <w:rPr>
          <w:rFonts w:hint="eastAsia" w:ascii="仿宋_GB2312" w:hAnsi="楷体" w:eastAsia="仿宋_GB2312" w:cs="宋体"/>
          <w:kern w:val="0"/>
          <w:sz w:val="32"/>
          <w:szCs w:val="32"/>
        </w:rPr>
        <w:t>（二）论证通过的总价40万元（含）以上的拟购大型仪器设备，由设备处统一纳入学校拟购设备库。纳入学校拟购设备库的设备应在两年内完成采购，确有特殊情况的，可提出延期申请，经批准后可延长一年有效期。有效期内没有采购的设备自动退出拟购设备库，如仍需采购应重新进行论证。</w:t>
      </w:r>
    </w:p>
    <w:p>
      <w:pPr>
        <w:spacing w:line="560" w:lineRule="exact"/>
        <w:ind w:firstLine="525"/>
        <w:rPr>
          <w:rFonts w:ascii="仿宋_GB2312" w:hAnsi="楷体" w:eastAsia="仿宋_GB2312" w:cs="宋体"/>
          <w:kern w:val="0"/>
          <w:sz w:val="32"/>
          <w:szCs w:val="32"/>
        </w:rPr>
      </w:pPr>
      <w:r>
        <w:rPr>
          <w:rFonts w:hint="eastAsia" w:ascii="仿宋_GB2312" w:hAnsi="楷体" w:eastAsia="仿宋_GB2312" w:cs="宋体"/>
          <w:kern w:val="0"/>
          <w:sz w:val="32"/>
          <w:szCs w:val="32"/>
        </w:rPr>
        <w:t>（三）若申请单位纳入学校拟购设备库的设备超过该单位前两个自然年设备购置经费总和，则该单位后续申请的设备将控制入库。</w:t>
      </w:r>
    </w:p>
    <w:p>
      <w:pPr>
        <w:spacing w:line="560" w:lineRule="exact"/>
        <w:ind w:firstLine="525"/>
        <w:rPr>
          <w:rFonts w:ascii="仿宋_GB2312" w:hAnsi="楷体" w:eastAsia="仿宋_GB2312" w:cs="宋体"/>
          <w:kern w:val="0"/>
          <w:sz w:val="32"/>
          <w:szCs w:val="32"/>
        </w:rPr>
      </w:pPr>
      <w:r>
        <w:rPr>
          <w:rFonts w:hint="eastAsia" w:ascii="仿宋_GB2312" w:hAnsi="楷体" w:eastAsia="仿宋_GB2312" w:cs="宋体"/>
          <w:kern w:val="0"/>
          <w:sz w:val="32"/>
          <w:szCs w:val="32"/>
        </w:rPr>
        <w:t>（四）未通过论证的设备，如为学科必需，则可在重新调研后提交修改后的论证报告，但连续两次论证未通过的拟购设备将暂停该设备一年申报论证资格。</w:t>
      </w:r>
    </w:p>
    <w:p>
      <w:pPr>
        <w:spacing w:line="560" w:lineRule="exact"/>
        <w:ind w:firstLine="525"/>
        <w:rPr>
          <w:rFonts w:ascii="仿宋_GB2312" w:hAnsi="楷体" w:eastAsia="仿宋_GB2312" w:cs="宋体"/>
          <w:kern w:val="0"/>
          <w:sz w:val="32"/>
          <w:szCs w:val="32"/>
        </w:rPr>
      </w:pPr>
      <w:r>
        <w:rPr>
          <w:rFonts w:hint="eastAsia" w:ascii="仿宋_GB2312" w:hAnsi="楷体" w:eastAsia="仿宋_GB2312" w:cs="宋体"/>
          <w:kern w:val="0"/>
          <w:sz w:val="32"/>
          <w:szCs w:val="32"/>
        </w:rPr>
        <w:t>（五）已纳入学校拟购设备库的设备的主要技术参数、环境要求等，不得在后续环节变更。因客观原因确需变更的，须提交变更申请，由设备处组织专家进行审核，审核通过的由设备处备案变更情况。审核不通过的须重新进行论证。</w:t>
      </w:r>
    </w:p>
    <w:p>
      <w:pPr>
        <w:spacing w:line="560" w:lineRule="exact"/>
        <w:ind w:firstLine="525"/>
        <w:rPr>
          <w:rFonts w:ascii="仿宋_GB2312" w:hAnsi="楷体" w:eastAsia="仿宋_GB2312" w:cs="宋体"/>
          <w:kern w:val="0"/>
          <w:sz w:val="32"/>
          <w:szCs w:val="32"/>
        </w:rPr>
      </w:pPr>
      <w:r>
        <w:rPr>
          <w:rFonts w:hint="eastAsia" w:ascii="仿宋_GB2312" w:hAnsi="楷体" w:eastAsia="仿宋_GB2312" w:cs="宋体"/>
          <w:kern w:val="0"/>
          <w:sz w:val="32"/>
          <w:szCs w:val="32"/>
        </w:rPr>
        <w:t>（六）购置单位根据学科发展需要，确定设备购置的优先顺序，</w:t>
      </w:r>
      <w:r>
        <w:rPr>
          <w:rFonts w:hint="eastAsia" w:ascii="仿宋_GB2312" w:hAnsi="楷体" w:eastAsia="仿宋_GB2312" w:cs="宋体"/>
          <w:spacing w:val="-15"/>
          <w:kern w:val="0"/>
          <w:sz w:val="32"/>
          <w:szCs w:val="32"/>
        </w:rPr>
        <w:t>根据本单位预算申请及经费获批情况</w:t>
      </w:r>
      <w:r>
        <w:rPr>
          <w:rFonts w:hint="eastAsia" w:ascii="仿宋_GB2312" w:hAnsi="楷体" w:eastAsia="仿宋_GB2312" w:cs="宋体"/>
          <w:kern w:val="0"/>
          <w:sz w:val="32"/>
          <w:szCs w:val="32"/>
        </w:rPr>
        <w:t>，进行采购申请。</w:t>
      </w:r>
    </w:p>
    <w:p>
      <w:pPr>
        <w:spacing w:before="280" w:beforeLines="50" w:after="280" w:afterLines="50" w:line="560" w:lineRule="exact"/>
        <w:jc w:val="center"/>
        <w:rPr>
          <w:rFonts w:ascii="黑体" w:hAnsi="黑体" w:eastAsia="黑体"/>
          <w:sz w:val="32"/>
          <w:szCs w:val="32"/>
        </w:rPr>
      </w:pPr>
      <w:r>
        <w:rPr>
          <w:rFonts w:hint="eastAsia" w:ascii="黑体" w:hAnsi="黑体" w:eastAsia="黑体"/>
          <w:sz w:val="32"/>
          <w:szCs w:val="32"/>
        </w:rPr>
        <w:t>第四章  设备论证专家</w:t>
      </w:r>
    </w:p>
    <w:p>
      <w:pPr>
        <w:spacing w:line="560" w:lineRule="exact"/>
        <w:ind w:firstLine="525"/>
        <w:rPr>
          <w:rFonts w:ascii="仿宋_GB2312" w:hAnsi="楷体" w:eastAsia="仿宋_GB2312" w:cs="宋体"/>
          <w:b/>
          <w:bCs/>
          <w:kern w:val="0"/>
          <w:sz w:val="32"/>
          <w:szCs w:val="32"/>
        </w:rPr>
      </w:pPr>
      <w:r>
        <w:rPr>
          <w:rFonts w:hint="eastAsia" w:ascii="黑体" w:hAnsi="黑体" w:eastAsia="黑体"/>
          <w:sz w:val="32"/>
          <w:szCs w:val="32"/>
        </w:rPr>
        <w:t>第十一条  设备论证专家选择条件</w:t>
      </w:r>
    </w:p>
    <w:p>
      <w:pPr>
        <w:spacing w:line="560" w:lineRule="exact"/>
        <w:ind w:firstLine="525"/>
        <w:rPr>
          <w:rFonts w:ascii="仿宋_GB2312" w:hAnsi="楷体" w:eastAsia="仿宋_GB2312" w:cs="宋体"/>
          <w:kern w:val="0"/>
          <w:sz w:val="32"/>
          <w:szCs w:val="32"/>
        </w:rPr>
      </w:pPr>
      <w:r>
        <w:rPr>
          <w:rFonts w:hint="eastAsia" w:ascii="仿宋_GB2312" w:hAnsi="楷体" w:eastAsia="仿宋_GB2312" w:cs="宋体"/>
          <w:kern w:val="0"/>
          <w:sz w:val="32"/>
          <w:szCs w:val="32"/>
        </w:rPr>
        <w:t>（一）熟悉一个或多个特定领域的设备情况；</w:t>
      </w:r>
    </w:p>
    <w:p>
      <w:pPr>
        <w:spacing w:line="560" w:lineRule="exact"/>
        <w:ind w:firstLine="525"/>
        <w:rPr>
          <w:rFonts w:hint="eastAsia" w:ascii="仿宋_GB2312" w:hAnsi="楷体" w:eastAsia="仿宋_GB2312" w:cs="宋体"/>
          <w:kern w:val="0"/>
          <w:sz w:val="32"/>
          <w:szCs w:val="32"/>
          <w:lang w:eastAsia="zh-CN"/>
        </w:rPr>
      </w:pPr>
      <w:r>
        <w:rPr>
          <w:rFonts w:hint="eastAsia" w:ascii="仿宋_GB2312" w:hAnsi="楷体" w:eastAsia="仿宋_GB2312" w:cs="宋体"/>
          <w:kern w:val="0"/>
          <w:sz w:val="32"/>
          <w:szCs w:val="32"/>
        </w:rPr>
        <w:t>（二）自愿担任设备论证工作，工作认真负责</w:t>
      </w:r>
      <w:r>
        <w:rPr>
          <w:rFonts w:hint="eastAsia" w:ascii="仿宋_GB2312" w:hAnsi="楷体" w:eastAsia="仿宋_GB2312" w:cs="宋体"/>
          <w:kern w:val="0"/>
          <w:sz w:val="32"/>
          <w:szCs w:val="32"/>
          <w:lang w:eastAsia="zh-CN"/>
        </w:rPr>
        <w:t>；</w:t>
      </w:r>
    </w:p>
    <w:p>
      <w:pPr>
        <w:spacing w:line="560" w:lineRule="exact"/>
        <w:ind w:firstLine="525"/>
        <w:rPr>
          <w:rFonts w:ascii="仿宋_GB2312" w:hAnsi="楷体" w:eastAsia="仿宋_GB2312" w:cs="宋体"/>
          <w:kern w:val="0"/>
          <w:sz w:val="32"/>
          <w:szCs w:val="32"/>
        </w:rPr>
      </w:pPr>
      <w:r>
        <w:rPr>
          <w:rFonts w:hint="eastAsia" w:ascii="仿宋_GB2312" w:hAnsi="楷体" w:eastAsia="仿宋_GB2312" w:cs="宋体"/>
          <w:kern w:val="0"/>
          <w:sz w:val="32"/>
          <w:szCs w:val="32"/>
        </w:rPr>
        <w:t>（三）专家原则上应为副高级及以上职称，专业人员稀缺的领域可适当放宽条件。</w:t>
      </w:r>
    </w:p>
    <w:p>
      <w:pPr>
        <w:spacing w:line="560" w:lineRule="exact"/>
        <w:ind w:firstLine="525"/>
        <w:rPr>
          <w:rFonts w:ascii="仿宋_GB2312" w:hAnsi="楷体" w:eastAsia="仿宋_GB2312" w:cs="宋体"/>
          <w:b/>
          <w:bCs/>
          <w:kern w:val="0"/>
          <w:sz w:val="32"/>
          <w:szCs w:val="32"/>
        </w:rPr>
      </w:pPr>
      <w:r>
        <w:rPr>
          <w:rFonts w:hint="eastAsia" w:ascii="黑体" w:hAnsi="黑体" w:eastAsia="黑体"/>
          <w:sz w:val="32"/>
          <w:szCs w:val="32"/>
        </w:rPr>
        <w:t>第十二条</w:t>
      </w:r>
      <w:r>
        <w:rPr>
          <w:rFonts w:hint="eastAsia" w:ascii="仿宋_GB2312" w:hAnsi="楷体" w:eastAsia="仿宋_GB2312" w:cs="宋体"/>
          <w:b/>
          <w:bCs/>
          <w:kern w:val="0"/>
          <w:sz w:val="32"/>
          <w:szCs w:val="32"/>
        </w:rPr>
        <w:t xml:space="preserve"> </w:t>
      </w:r>
      <w:r>
        <w:rPr>
          <w:rFonts w:hint="eastAsia" w:ascii="黑体" w:hAnsi="黑体" w:eastAsia="黑体"/>
          <w:sz w:val="32"/>
          <w:szCs w:val="32"/>
        </w:rPr>
        <w:t xml:space="preserve"> 设备论证专家的职责和权利</w:t>
      </w:r>
    </w:p>
    <w:p>
      <w:pPr>
        <w:spacing w:line="560" w:lineRule="exact"/>
        <w:ind w:firstLine="525"/>
        <w:rPr>
          <w:rFonts w:hint="eastAsia" w:ascii="仿宋_GB2312" w:hAnsi="楷体" w:eastAsia="仿宋_GB2312" w:cs="宋体"/>
          <w:kern w:val="0"/>
          <w:sz w:val="32"/>
          <w:szCs w:val="32"/>
          <w:lang w:eastAsia="zh-CN"/>
        </w:rPr>
      </w:pPr>
      <w:r>
        <w:rPr>
          <w:rFonts w:hint="eastAsia" w:ascii="仿宋_GB2312" w:hAnsi="楷体" w:eastAsia="仿宋_GB2312" w:cs="宋体"/>
          <w:kern w:val="0"/>
          <w:sz w:val="32"/>
          <w:szCs w:val="32"/>
        </w:rPr>
        <w:t>（一）遵守评审工作纪律，按照客观、公正、审慎的原则，真实客观地出具专家意见，对本人的评审意见承担责任，并负责解释评审意见和建议</w:t>
      </w:r>
      <w:r>
        <w:rPr>
          <w:rFonts w:hint="eastAsia" w:ascii="仿宋_GB2312" w:hAnsi="楷体" w:eastAsia="仿宋_GB2312" w:cs="宋体"/>
          <w:kern w:val="0"/>
          <w:sz w:val="32"/>
          <w:szCs w:val="32"/>
          <w:lang w:eastAsia="zh-CN"/>
        </w:rPr>
        <w:t>；</w:t>
      </w:r>
    </w:p>
    <w:p>
      <w:pPr>
        <w:spacing w:line="560" w:lineRule="exact"/>
        <w:ind w:firstLine="525"/>
        <w:rPr>
          <w:rFonts w:hint="eastAsia" w:ascii="仿宋_GB2312" w:hAnsi="楷体" w:eastAsia="仿宋_GB2312" w:cs="宋体"/>
          <w:kern w:val="0"/>
          <w:sz w:val="32"/>
          <w:szCs w:val="32"/>
          <w:lang w:eastAsia="zh-CN"/>
        </w:rPr>
      </w:pPr>
      <w:r>
        <w:rPr>
          <w:rFonts w:hint="eastAsia" w:ascii="仿宋_GB2312" w:hAnsi="楷体" w:eastAsia="仿宋_GB2312" w:cs="宋体"/>
          <w:kern w:val="0"/>
          <w:sz w:val="32"/>
          <w:szCs w:val="32"/>
        </w:rPr>
        <w:t>（二）发现论证报告存在重大缺陷时,应及时向评审组织单位说明情况</w:t>
      </w:r>
      <w:r>
        <w:rPr>
          <w:rFonts w:hint="eastAsia" w:ascii="仿宋_GB2312" w:hAnsi="楷体" w:eastAsia="仿宋_GB2312" w:cs="宋体"/>
          <w:kern w:val="0"/>
          <w:sz w:val="32"/>
          <w:szCs w:val="32"/>
          <w:lang w:eastAsia="zh-CN"/>
        </w:rPr>
        <w:t>；</w:t>
      </w:r>
    </w:p>
    <w:p>
      <w:pPr>
        <w:spacing w:line="560" w:lineRule="exact"/>
        <w:ind w:firstLine="525"/>
        <w:rPr>
          <w:rFonts w:hint="eastAsia" w:ascii="仿宋_GB2312" w:hAnsi="楷体" w:eastAsia="仿宋_GB2312" w:cs="宋体"/>
          <w:kern w:val="0"/>
          <w:sz w:val="32"/>
          <w:szCs w:val="32"/>
          <w:lang w:eastAsia="zh-CN"/>
        </w:rPr>
      </w:pPr>
      <w:r>
        <w:rPr>
          <w:rFonts w:hint="eastAsia" w:ascii="仿宋_GB2312" w:hAnsi="楷体" w:eastAsia="仿宋_GB2312" w:cs="宋体"/>
          <w:kern w:val="0"/>
          <w:sz w:val="32"/>
          <w:szCs w:val="32"/>
        </w:rPr>
        <w:t>（三）不得泄露评审文件、评审情况和在评审过程中获悉的技术秘密和商业秘密</w:t>
      </w:r>
      <w:r>
        <w:rPr>
          <w:rFonts w:hint="eastAsia" w:ascii="仿宋_GB2312" w:hAnsi="楷体" w:eastAsia="仿宋_GB2312" w:cs="宋体"/>
          <w:kern w:val="0"/>
          <w:sz w:val="32"/>
          <w:szCs w:val="32"/>
          <w:lang w:eastAsia="zh-CN"/>
        </w:rPr>
        <w:t>；</w:t>
      </w:r>
    </w:p>
    <w:p>
      <w:pPr>
        <w:spacing w:line="560" w:lineRule="exact"/>
        <w:ind w:firstLine="525"/>
        <w:rPr>
          <w:rFonts w:hint="eastAsia" w:ascii="仿宋_GB2312" w:hAnsi="楷体" w:eastAsia="仿宋_GB2312" w:cs="宋体"/>
          <w:kern w:val="0"/>
          <w:sz w:val="32"/>
          <w:szCs w:val="32"/>
          <w:lang w:eastAsia="zh-CN"/>
        </w:rPr>
      </w:pPr>
      <w:r>
        <w:rPr>
          <w:rFonts w:hint="eastAsia" w:ascii="仿宋_GB2312" w:hAnsi="楷体" w:eastAsia="仿宋_GB2312" w:cs="宋体"/>
          <w:kern w:val="0"/>
          <w:sz w:val="32"/>
          <w:szCs w:val="32"/>
        </w:rPr>
        <w:t>（四）主动对存在关联的拟购设备论证提出回避申请</w:t>
      </w:r>
      <w:r>
        <w:rPr>
          <w:rFonts w:hint="eastAsia" w:ascii="仿宋_GB2312" w:hAnsi="楷体" w:eastAsia="仿宋_GB2312" w:cs="宋体"/>
          <w:kern w:val="0"/>
          <w:sz w:val="32"/>
          <w:szCs w:val="32"/>
          <w:lang w:eastAsia="zh-CN"/>
        </w:rPr>
        <w:t>；</w:t>
      </w:r>
    </w:p>
    <w:p>
      <w:pPr>
        <w:spacing w:line="560" w:lineRule="exact"/>
        <w:ind w:firstLine="525"/>
        <w:rPr>
          <w:rFonts w:ascii="仿宋_GB2312" w:hAnsi="微软雅黑" w:eastAsia="仿宋_GB2312" w:cs="宋体"/>
          <w:kern w:val="0"/>
          <w:sz w:val="32"/>
          <w:szCs w:val="32"/>
        </w:rPr>
      </w:pPr>
      <w:r>
        <w:rPr>
          <w:rFonts w:hint="eastAsia" w:ascii="仿宋_GB2312" w:hAnsi="楷体" w:eastAsia="仿宋_GB2312" w:cs="宋体"/>
          <w:kern w:val="0"/>
          <w:sz w:val="32"/>
          <w:szCs w:val="32"/>
        </w:rPr>
        <w:t>（五）</w:t>
      </w:r>
      <w:r>
        <w:rPr>
          <w:rFonts w:hint="eastAsia" w:ascii="仿宋_GB2312" w:hAnsi="楷体" w:eastAsia="仿宋_GB2312" w:cs="宋体"/>
          <w:bCs/>
          <w:kern w:val="0"/>
          <w:sz w:val="32"/>
          <w:szCs w:val="32"/>
        </w:rPr>
        <w:t>设备论证专家参加评审活动可获得符合规定的报酬</w:t>
      </w:r>
      <w:r>
        <w:rPr>
          <w:rFonts w:hint="eastAsia" w:ascii="仿宋_GB2312" w:hAnsi="楷体" w:eastAsia="仿宋_GB2312" w:cs="宋体"/>
          <w:kern w:val="0"/>
          <w:sz w:val="32"/>
          <w:szCs w:val="32"/>
        </w:rPr>
        <w:t>。</w:t>
      </w:r>
    </w:p>
    <w:p>
      <w:pPr>
        <w:spacing w:line="560" w:lineRule="exact"/>
        <w:ind w:firstLine="640" w:firstLineChars="200"/>
        <w:rPr>
          <w:rFonts w:ascii="仿宋_GB2312" w:hAnsi="微软雅黑" w:eastAsia="仿宋_GB2312" w:cs="宋体"/>
          <w:kern w:val="0"/>
          <w:sz w:val="32"/>
          <w:szCs w:val="32"/>
        </w:rPr>
      </w:pPr>
      <w:r>
        <w:rPr>
          <w:rFonts w:hint="eastAsia" w:ascii="黑体" w:hAnsi="黑体" w:eastAsia="黑体"/>
          <w:sz w:val="32"/>
          <w:szCs w:val="32"/>
        </w:rPr>
        <w:t>第十三条  专家选择</w:t>
      </w:r>
    </w:p>
    <w:p>
      <w:pPr>
        <w:spacing w:line="560" w:lineRule="exact"/>
        <w:ind w:firstLine="525"/>
        <w:rPr>
          <w:rFonts w:ascii="仿宋_GB2312" w:hAnsi="楷体" w:eastAsia="仿宋_GB2312" w:cs="宋体"/>
          <w:kern w:val="0"/>
          <w:sz w:val="32"/>
          <w:szCs w:val="32"/>
        </w:rPr>
      </w:pPr>
      <w:r>
        <w:rPr>
          <w:rFonts w:hint="eastAsia" w:ascii="仿宋_GB2312" w:hAnsi="楷体" w:eastAsia="仿宋_GB2312" w:cs="宋体"/>
          <w:kern w:val="0"/>
          <w:sz w:val="32"/>
          <w:szCs w:val="32"/>
        </w:rPr>
        <w:t>（一）学校</w:t>
      </w:r>
      <w:r>
        <w:rPr>
          <w:rFonts w:hint="eastAsia" w:ascii="仿宋_GB2312" w:hAnsi="仿宋" w:eastAsia="仿宋_GB2312"/>
          <w:sz w:val="32"/>
          <w:szCs w:val="32"/>
          <w:lang w:bidi="ar"/>
        </w:rPr>
        <w:t>采取公开征集的方式</w:t>
      </w:r>
      <w:r>
        <w:rPr>
          <w:rFonts w:hint="eastAsia" w:ascii="仿宋_GB2312" w:hAnsi="楷体" w:eastAsia="仿宋_GB2312" w:cs="宋体"/>
          <w:kern w:val="0"/>
          <w:sz w:val="32"/>
          <w:szCs w:val="32"/>
        </w:rPr>
        <w:t>建立设备购置论证专家库，</w:t>
      </w:r>
      <w:r>
        <w:rPr>
          <w:rFonts w:hint="eastAsia" w:ascii="仿宋_GB2312" w:hAnsi="仿宋" w:eastAsia="仿宋_GB2312"/>
          <w:sz w:val="32"/>
          <w:szCs w:val="32"/>
          <w:lang w:bidi="ar"/>
        </w:rPr>
        <w:t>各</w:t>
      </w:r>
      <w:r>
        <w:rPr>
          <w:rFonts w:hint="eastAsia" w:ascii="仿宋_GB2312" w:hAnsi="楷体" w:eastAsia="仿宋_GB2312" w:cs="宋体"/>
          <w:kern w:val="0"/>
          <w:sz w:val="32"/>
          <w:szCs w:val="32"/>
        </w:rPr>
        <w:t>二级单位推荐符合专家选择条件的人员，设备处择优选定入库。</w:t>
      </w:r>
    </w:p>
    <w:p>
      <w:pPr>
        <w:spacing w:line="560" w:lineRule="exact"/>
        <w:ind w:firstLine="525"/>
        <w:rPr>
          <w:rFonts w:ascii="仿宋_GB2312" w:hAnsi="楷体" w:eastAsia="仿宋_GB2312" w:cs="宋体"/>
          <w:kern w:val="0"/>
          <w:sz w:val="32"/>
          <w:szCs w:val="32"/>
        </w:rPr>
      </w:pPr>
      <w:r>
        <w:rPr>
          <w:rFonts w:hint="eastAsia" w:ascii="仿宋_GB2312" w:hAnsi="楷体" w:eastAsia="仿宋_GB2312" w:cs="宋体"/>
          <w:kern w:val="0"/>
          <w:sz w:val="32"/>
          <w:szCs w:val="32"/>
        </w:rPr>
        <w:t>（二）评审专家组人数应为五人及以上的单数，原则上应在学校设备购置论证专家库中选择相关领域的专家组成评审专家组。</w:t>
      </w:r>
    </w:p>
    <w:p>
      <w:pPr>
        <w:spacing w:line="560" w:lineRule="exact"/>
        <w:ind w:firstLine="525"/>
        <w:rPr>
          <w:rFonts w:ascii="仿宋_GB2312" w:hAnsi="楷体" w:eastAsia="仿宋_GB2312" w:cs="宋体"/>
          <w:kern w:val="0"/>
          <w:sz w:val="32"/>
          <w:szCs w:val="32"/>
        </w:rPr>
      </w:pPr>
      <w:r>
        <w:rPr>
          <w:rFonts w:hint="eastAsia" w:ascii="仿宋_GB2312" w:hAnsi="楷体" w:eastAsia="仿宋_GB2312" w:cs="宋体"/>
          <w:kern w:val="0"/>
          <w:sz w:val="32"/>
          <w:szCs w:val="32"/>
        </w:rPr>
        <w:t>（三）论证总价200万元（含）以上大型仪器设备时，原则上评审专家组内应包含两名校外专家。校内专家不能覆盖的评审领域也可邀请校外专家进行。除法律专家外，校外专家的选择须满足本细则第十一条关于</w:t>
      </w:r>
      <w:r>
        <w:rPr>
          <w:rFonts w:hint="eastAsia" w:ascii="仿宋_GB2312" w:hAnsi="楷体" w:eastAsia="仿宋_GB2312" w:cs="宋体"/>
          <w:bCs/>
          <w:kern w:val="0"/>
          <w:sz w:val="32"/>
          <w:szCs w:val="32"/>
        </w:rPr>
        <w:t>设备论证专家选择条件之要求。</w:t>
      </w:r>
    </w:p>
    <w:p>
      <w:pPr>
        <w:spacing w:before="280" w:beforeLines="50" w:after="280" w:afterLines="50" w:line="560" w:lineRule="exact"/>
        <w:jc w:val="center"/>
        <w:rPr>
          <w:rFonts w:ascii="黑体" w:hAnsi="黑体" w:eastAsia="黑体"/>
          <w:sz w:val="32"/>
          <w:szCs w:val="32"/>
        </w:rPr>
      </w:pPr>
      <w:r>
        <w:rPr>
          <w:rFonts w:hint="eastAsia" w:ascii="黑体" w:hAnsi="黑体" w:eastAsia="黑体"/>
          <w:sz w:val="32"/>
          <w:szCs w:val="32"/>
        </w:rPr>
        <w:t>第五章  附  则</w:t>
      </w:r>
    </w:p>
    <w:p>
      <w:pPr>
        <w:spacing w:line="560" w:lineRule="exact"/>
        <w:ind w:firstLine="640" w:firstLineChars="200"/>
        <w:rPr>
          <w:rFonts w:hint="eastAsia" w:ascii="仿宋_GB2312" w:hAnsi="楷体" w:eastAsia="仿宋_GB2312" w:cs="宋体"/>
          <w:kern w:val="0"/>
          <w:sz w:val="32"/>
          <w:szCs w:val="32"/>
        </w:rPr>
      </w:pPr>
      <w:r>
        <w:rPr>
          <w:rFonts w:hint="eastAsia" w:ascii="黑体" w:hAnsi="黑体" w:eastAsia="黑体"/>
          <w:sz w:val="32"/>
          <w:szCs w:val="32"/>
        </w:rPr>
        <w:t xml:space="preserve">第十四条  </w:t>
      </w:r>
      <w:r>
        <w:rPr>
          <w:rFonts w:hint="eastAsia" w:ascii="仿宋_GB2312" w:hAnsi="楷体" w:eastAsia="仿宋_GB2312" w:cs="宋体"/>
          <w:kern w:val="0"/>
          <w:sz w:val="32"/>
          <w:szCs w:val="32"/>
        </w:rPr>
        <w:t>珠海校区大型仪器设备论证实施参照本细则执行。</w:t>
      </w:r>
    </w:p>
    <w:p>
      <w:pPr>
        <w:spacing w:line="560" w:lineRule="exact"/>
        <w:ind w:firstLine="640" w:firstLineChars="200"/>
        <w:rPr>
          <w:rFonts w:ascii="仿宋_GB2312" w:hAnsi="微软雅黑" w:eastAsia="仿宋_GB2312" w:cs="宋体"/>
          <w:kern w:val="0"/>
          <w:sz w:val="32"/>
          <w:szCs w:val="32"/>
        </w:rPr>
      </w:pPr>
      <w:r>
        <w:rPr>
          <w:rFonts w:hint="eastAsia" w:ascii="黑体" w:hAnsi="黑体" w:eastAsia="黑体"/>
          <w:sz w:val="32"/>
          <w:szCs w:val="32"/>
        </w:rPr>
        <w:t>第十五条</w:t>
      </w:r>
      <w:r>
        <w:rPr>
          <w:rFonts w:hint="eastAsia" w:ascii="仿宋_GB2312" w:hAnsi="楷体" w:eastAsia="仿宋_GB2312" w:cs="宋体"/>
          <w:kern w:val="0"/>
          <w:sz w:val="32"/>
          <w:szCs w:val="32"/>
        </w:rPr>
        <w:t xml:space="preserve">  本办法自发布之日起施行，由实验室安全与设备管理处负责解释。</w:t>
      </w:r>
    </w:p>
    <w:p>
      <w:pPr>
        <w:spacing w:line="560" w:lineRule="exact"/>
        <w:jc w:val="center"/>
        <w:sectPr>
          <w:footerReference r:id="rId3" w:type="default"/>
          <w:pgSz w:w="11906" w:h="16838"/>
          <w:pgMar w:top="2098" w:right="1474" w:bottom="1417" w:left="1587" w:header="851" w:footer="992" w:gutter="0"/>
          <w:cols w:space="720" w:num="1"/>
          <w:docGrid w:type="lines" w:linePitch="560" w:charSpace="0"/>
        </w:sectPr>
      </w:pPr>
    </w:p>
    <w:p>
      <w:pPr>
        <w:spacing w:line="560" w:lineRule="exact"/>
        <w:jc w:val="center"/>
        <w:rPr>
          <w:rFonts w:ascii="方正小标宋简体" w:hAnsi="微软雅黑" w:eastAsia="方正小标宋简体" w:cs="宋体"/>
          <w:color w:val="000000"/>
          <w:kern w:val="0"/>
          <w:sz w:val="44"/>
          <w:szCs w:val="44"/>
        </w:rPr>
      </w:pPr>
      <w:bookmarkStart w:id="3" w:name="_Hlk89848868"/>
      <w:r>
        <w:rPr>
          <w:rFonts w:hint="eastAsia" w:ascii="方正小标宋简体" w:hAnsi="微软雅黑" w:eastAsia="方正小标宋简体" w:cs="宋体"/>
          <w:b/>
          <w:bCs/>
          <w:color w:val="000000"/>
          <w:kern w:val="0"/>
          <w:sz w:val="44"/>
          <w:szCs w:val="44"/>
        </w:rPr>
        <w:t>北京师范大学仪器设备验收建账实施细则</w:t>
      </w:r>
    </w:p>
    <w:p>
      <w:pPr>
        <w:spacing w:line="560" w:lineRule="exact"/>
        <w:jc w:val="center"/>
        <w:rPr>
          <w:rFonts w:ascii="方正小标宋简体" w:hAnsi="微软雅黑" w:eastAsia="方正小标宋简体" w:cs="宋体"/>
          <w:b/>
          <w:bCs/>
          <w:color w:val="000000"/>
          <w:kern w:val="0"/>
          <w:sz w:val="44"/>
          <w:szCs w:val="44"/>
        </w:rPr>
      </w:pPr>
      <w:r>
        <w:rPr>
          <w:rFonts w:hint="eastAsia" w:ascii="方正小标宋简体" w:hAnsi="微软雅黑" w:eastAsia="方正小标宋简体" w:cs="宋体"/>
          <w:b/>
          <w:bCs/>
          <w:color w:val="000000"/>
          <w:kern w:val="0"/>
          <w:sz w:val="44"/>
          <w:szCs w:val="44"/>
        </w:rPr>
        <w:t>（试行）</w:t>
      </w:r>
    </w:p>
    <w:bookmarkEnd w:id="3"/>
    <w:p>
      <w:pPr>
        <w:spacing w:line="560" w:lineRule="exact"/>
        <w:rPr>
          <w:rFonts w:ascii="仿宋_GB2312" w:hAnsi="仿宋" w:eastAsia="仿宋_GB2312"/>
          <w:sz w:val="32"/>
          <w:szCs w:val="32"/>
        </w:rPr>
      </w:pPr>
    </w:p>
    <w:p>
      <w:pPr>
        <w:spacing w:line="560" w:lineRule="exact"/>
        <w:ind w:firstLine="640" w:firstLineChars="200"/>
        <w:rPr>
          <w:rFonts w:ascii="仿宋_GB2312" w:hAnsi="楷体" w:eastAsia="仿宋_GB2312" w:cs="宋体"/>
          <w:kern w:val="0"/>
          <w:sz w:val="32"/>
          <w:szCs w:val="32"/>
        </w:rPr>
      </w:pPr>
      <w:r>
        <w:rPr>
          <w:rFonts w:hint="eastAsia" w:ascii="黑体" w:hAnsi="黑体" w:eastAsia="黑体" w:cs="宋体"/>
          <w:kern w:val="0"/>
          <w:sz w:val="32"/>
          <w:szCs w:val="32"/>
        </w:rPr>
        <w:t>第一条</w:t>
      </w:r>
      <w:r>
        <w:rPr>
          <w:rFonts w:hint="eastAsia" w:ascii="仿宋_GB2312" w:hAnsi="楷体" w:eastAsia="仿宋_GB2312" w:cs="宋体"/>
          <w:kern w:val="0"/>
          <w:sz w:val="32"/>
          <w:szCs w:val="32"/>
        </w:rPr>
        <w:t xml:space="preserve">  为加强学校固定资产管理，进一步规范仪器设备验收程序，健全完善仪器设备出入库管理制度，根据《事业单位国有资产管理暂行办法》（财政部第100号令）、《北京师范大学国有资产管理办法》（师校发〔2015〕41号）、《北京师范大学固定资产管理暂行办法》（师国资发〔2017〕02号）等相关法规及文件要求，制定本细则。</w:t>
      </w:r>
    </w:p>
    <w:p>
      <w:pPr>
        <w:spacing w:line="560" w:lineRule="exact"/>
        <w:ind w:firstLine="640" w:firstLineChars="200"/>
        <w:rPr>
          <w:rFonts w:ascii="仿宋_GB2312" w:hAnsi="楷体" w:eastAsia="仿宋_GB2312" w:cs="宋体"/>
          <w:kern w:val="0"/>
          <w:sz w:val="32"/>
          <w:szCs w:val="32"/>
        </w:rPr>
      </w:pPr>
      <w:r>
        <w:rPr>
          <w:rFonts w:hint="eastAsia" w:ascii="黑体" w:hAnsi="黑体" w:eastAsia="黑体" w:cs="宋体"/>
          <w:kern w:val="0"/>
          <w:sz w:val="32"/>
          <w:szCs w:val="32"/>
        </w:rPr>
        <w:t>第二条</w:t>
      </w:r>
      <w:r>
        <w:rPr>
          <w:rFonts w:hint="eastAsia" w:ascii="仿宋_GB2312" w:hAnsi="楷体" w:eastAsia="仿宋_GB2312" w:cs="宋体"/>
          <w:kern w:val="0"/>
          <w:sz w:val="32"/>
          <w:szCs w:val="32"/>
        </w:rPr>
        <w:t xml:space="preserve">  所有使用学校经费购买的仪器设备均须按照本细则进行验收。</w:t>
      </w:r>
    </w:p>
    <w:p>
      <w:pPr>
        <w:spacing w:line="560" w:lineRule="exact"/>
        <w:ind w:firstLine="640" w:firstLineChars="200"/>
        <w:rPr>
          <w:rFonts w:ascii="仿宋_GB2312" w:hAnsi="楷体" w:eastAsia="仿宋_GB2312" w:cs="宋体"/>
          <w:kern w:val="0"/>
          <w:sz w:val="32"/>
          <w:szCs w:val="32"/>
        </w:rPr>
      </w:pPr>
      <w:r>
        <w:rPr>
          <w:rFonts w:hint="eastAsia" w:ascii="黑体" w:hAnsi="黑体" w:eastAsia="黑体" w:cs="宋体"/>
          <w:kern w:val="0"/>
          <w:sz w:val="32"/>
          <w:szCs w:val="32"/>
        </w:rPr>
        <w:t>第三条</w:t>
      </w:r>
      <w:r>
        <w:rPr>
          <w:rFonts w:hint="eastAsia" w:ascii="仿宋_GB2312" w:hAnsi="楷体" w:eastAsia="仿宋_GB2312" w:cs="宋体"/>
          <w:kern w:val="0"/>
          <w:sz w:val="32"/>
          <w:szCs w:val="32"/>
        </w:rPr>
        <w:t xml:space="preserve">  实验室安全与设备管理处（以下简称设备处）与国有资产管理处（以下简称国资处）是仪器设备验收工作的主管部门。仪器设备验收工作坚持“用户为主、相互监督、权责明确”的原则，各仪器设备使用和管理部门应共同维护学校利益，切实把好验收关。</w:t>
      </w:r>
    </w:p>
    <w:p>
      <w:pPr>
        <w:spacing w:line="560" w:lineRule="exact"/>
        <w:ind w:firstLine="640" w:firstLineChars="200"/>
        <w:rPr>
          <w:rFonts w:ascii="仿宋_GB2312" w:hAnsi="楷体" w:eastAsia="仿宋_GB2312" w:cs="宋体"/>
          <w:kern w:val="0"/>
          <w:sz w:val="32"/>
          <w:szCs w:val="32"/>
        </w:rPr>
      </w:pPr>
      <w:r>
        <w:rPr>
          <w:rFonts w:hint="eastAsia" w:ascii="黑体" w:hAnsi="黑体" w:eastAsia="黑体" w:cs="宋体"/>
          <w:kern w:val="0"/>
          <w:sz w:val="32"/>
          <w:szCs w:val="32"/>
        </w:rPr>
        <w:t>第四条</w:t>
      </w:r>
      <w:r>
        <w:rPr>
          <w:rFonts w:hint="eastAsia" w:ascii="仿宋_GB2312" w:hAnsi="楷体" w:eastAsia="仿宋_GB2312" w:cs="宋体"/>
          <w:kern w:val="0"/>
          <w:sz w:val="32"/>
          <w:szCs w:val="32"/>
        </w:rPr>
        <w:t xml:space="preserve">  仪器设备的验收分为接机验收（或称开箱验收）、技术验收（或称安装验收）和终验（或称二次验收）三个阶段。对不需要安装调试的设备，接机验收和技术验收可同时进行。</w:t>
      </w:r>
    </w:p>
    <w:p>
      <w:pPr>
        <w:spacing w:line="560" w:lineRule="exact"/>
        <w:ind w:firstLine="640" w:firstLineChars="200"/>
        <w:rPr>
          <w:rFonts w:ascii="仿宋_GB2312" w:hAnsi="楷体" w:eastAsia="仿宋_GB2312" w:cs="宋体"/>
          <w:kern w:val="0"/>
          <w:sz w:val="32"/>
          <w:szCs w:val="32"/>
        </w:rPr>
      </w:pPr>
      <w:r>
        <w:rPr>
          <w:rFonts w:hint="eastAsia" w:ascii="黑体" w:hAnsi="黑体" w:eastAsia="黑体" w:cs="宋体"/>
          <w:kern w:val="0"/>
          <w:sz w:val="32"/>
          <w:szCs w:val="32"/>
        </w:rPr>
        <w:t>第五条</w:t>
      </w:r>
      <w:r>
        <w:rPr>
          <w:rFonts w:hint="eastAsia" w:ascii="仿宋_GB2312" w:hAnsi="楷体" w:eastAsia="仿宋_GB2312" w:cs="宋体"/>
          <w:kern w:val="0"/>
          <w:sz w:val="32"/>
          <w:szCs w:val="32"/>
        </w:rPr>
        <w:t xml:space="preserve">  对单价20万元（不含）以下的仪器设备，使用单位自行组织验收工作，自行存档备查。</w:t>
      </w:r>
    </w:p>
    <w:p>
      <w:pPr>
        <w:spacing w:line="560" w:lineRule="exact"/>
        <w:ind w:firstLine="640" w:firstLineChars="200"/>
        <w:rPr>
          <w:rFonts w:ascii="仿宋_GB2312" w:hAnsi="楷体" w:eastAsia="仿宋_GB2312" w:cs="宋体"/>
          <w:kern w:val="0"/>
          <w:sz w:val="32"/>
          <w:szCs w:val="32"/>
        </w:rPr>
      </w:pPr>
      <w:r>
        <w:rPr>
          <w:rFonts w:hint="eastAsia" w:ascii="仿宋_GB2312" w:hAnsi="楷体" w:eastAsia="仿宋_GB2312" w:cs="宋体"/>
          <w:kern w:val="0"/>
          <w:sz w:val="32"/>
          <w:szCs w:val="32"/>
        </w:rPr>
        <w:t>对单价20万元（含）-40万元（不含）的仪器设备，使用单位自行组织验收，填写《北京师范大学大型仪器验收报告》后，将报告电子版报设备处留档。</w:t>
      </w:r>
    </w:p>
    <w:p>
      <w:pPr>
        <w:spacing w:line="560" w:lineRule="exact"/>
        <w:ind w:firstLine="640" w:firstLineChars="200"/>
        <w:rPr>
          <w:rFonts w:ascii="仿宋_GB2312" w:hAnsi="楷体" w:eastAsia="仿宋_GB2312" w:cs="宋体"/>
          <w:kern w:val="0"/>
          <w:sz w:val="32"/>
          <w:szCs w:val="32"/>
        </w:rPr>
      </w:pPr>
      <w:r>
        <w:rPr>
          <w:rFonts w:hint="eastAsia" w:ascii="仿宋_GB2312" w:hAnsi="楷体" w:eastAsia="仿宋_GB2312" w:cs="宋体"/>
          <w:kern w:val="0"/>
          <w:sz w:val="32"/>
          <w:szCs w:val="32"/>
        </w:rPr>
        <w:t>对单价40万元（含）以上的仪器设备，使用单位组织技术验收的同时，填写《北京师范大学大型仪器验收报告》，待其他相关材料备齐后报设备处，由设备处组织进行二次验收工作。</w:t>
      </w:r>
    </w:p>
    <w:p>
      <w:pPr>
        <w:spacing w:line="560" w:lineRule="exact"/>
        <w:ind w:firstLine="640" w:firstLineChars="200"/>
        <w:rPr>
          <w:rFonts w:ascii="仿宋_GB2312" w:hAnsi="楷体" w:eastAsia="仿宋_GB2312" w:cs="宋体"/>
          <w:kern w:val="0"/>
          <w:sz w:val="32"/>
          <w:szCs w:val="32"/>
        </w:rPr>
      </w:pPr>
      <w:r>
        <w:rPr>
          <w:rFonts w:hint="eastAsia" w:ascii="黑体" w:hAnsi="黑体" w:eastAsia="黑体" w:cs="宋体"/>
          <w:kern w:val="0"/>
          <w:sz w:val="32"/>
          <w:szCs w:val="32"/>
        </w:rPr>
        <w:t>第六条</w:t>
      </w:r>
      <w:r>
        <w:rPr>
          <w:rFonts w:hint="eastAsia" w:ascii="黑体" w:hAnsi="黑体" w:eastAsia="黑体" w:cs="黑体"/>
          <w:kern w:val="0"/>
          <w:sz w:val="32"/>
          <w:szCs w:val="32"/>
        </w:rPr>
        <w:t xml:space="preserve">  验收要求</w:t>
      </w:r>
    </w:p>
    <w:p>
      <w:pPr>
        <w:spacing w:line="560" w:lineRule="exact"/>
        <w:ind w:firstLine="640" w:firstLineChars="200"/>
        <w:rPr>
          <w:rFonts w:ascii="仿宋_GB2312" w:hAnsi="楷体" w:eastAsia="仿宋_GB2312" w:cs="宋体"/>
          <w:kern w:val="0"/>
          <w:sz w:val="32"/>
          <w:szCs w:val="32"/>
        </w:rPr>
      </w:pPr>
      <w:r>
        <w:rPr>
          <w:rFonts w:hint="eastAsia" w:ascii="仿宋_GB2312" w:hAnsi="楷体" w:eastAsia="仿宋_GB2312" w:cs="宋体"/>
          <w:kern w:val="0"/>
          <w:sz w:val="32"/>
          <w:szCs w:val="32"/>
        </w:rPr>
        <w:t>（一）使用单位须成立验收组，成员包括设备专家、设备使用人等至少3人。对总价200万元（含）以上设备开展技术验收时，成员应不少于5人（须包含校外专家），并请相关职能部门参加。</w:t>
      </w:r>
    </w:p>
    <w:p>
      <w:pPr>
        <w:spacing w:line="560" w:lineRule="exact"/>
        <w:ind w:firstLine="640" w:firstLineChars="200"/>
        <w:rPr>
          <w:rFonts w:ascii="仿宋_GB2312" w:hAnsi="楷体" w:eastAsia="仿宋_GB2312" w:cs="宋体"/>
          <w:kern w:val="0"/>
          <w:sz w:val="32"/>
          <w:szCs w:val="32"/>
        </w:rPr>
      </w:pPr>
      <w:r>
        <w:rPr>
          <w:rFonts w:hint="eastAsia" w:ascii="仿宋_GB2312" w:hAnsi="楷体" w:eastAsia="仿宋_GB2312" w:cs="宋体"/>
          <w:kern w:val="0"/>
          <w:sz w:val="32"/>
          <w:szCs w:val="32"/>
        </w:rPr>
        <w:t>（二）设备到货后，使用单位验收小组应进行常规检查，主要查验内容包括：外包装是否完好（如有破损、锈蚀、受潮、霉变等，应对其进行拍照存档备查），按合同和装箱单核对设备名称、规格、型号和厂家名称，逐一核查设备和相关附（备）件。</w:t>
      </w:r>
    </w:p>
    <w:p>
      <w:pPr>
        <w:spacing w:line="560" w:lineRule="exact"/>
        <w:ind w:firstLine="640" w:firstLineChars="200"/>
        <w:rPr>
          <w:rFonts w:ascii="仿宋_GB2312" w:hAnsi="楷体" w:eastAsia="仿宋_GB2312" w:cs="宋体"/>
          <w:kern w:val="0"/>
          <w:sz w:val="32"/>
          <w:szCs w:val="32"/>
        </w:rPr>
      </w:pPr>
      <w:r>
        <w:rPr>
          <w:rFonts w:hint="eastAsia" w:ascii="仿宋_GB2312" w:hAnsi="楷体" w:eastAsia="仿宋_GB2312" w:cs="宋体"/>
          <w:kern w:val="0"/>
          <w:sz w:val="32"/>
          <w:szCs w:val="32"/>
        </w:rPr>
        <w:t>（三）使用单位在设备安装调试和技术验收中应严格按照合同条款及产品出厂的技术指标逐项验收设备功能，重点检查设备运行中的稳定性、可靠性，形成明确的验收意见，填写验收报告，并留存验收过程照片。</w:t>
      </w:r>
    </w:p>
    <w:p>
      <w:pPr>
        <w:spacing w:line="560" w:lineRule="exact"/>
        <w:ind w:firstLine="640" w:firstLineChars="200"/>
        <w:rPr>
          <w:rFonts w:ascii="仿宋_GB2312" w:hAnsi="楷体" w:eastAsia="仿宋_GB2312" w:cs="宋体"/>
          <w:kern w:val="0"/>
          <w:sz w:val="32"/>
          <w:szCs w:val="32"/>
        </w:rPr>
      </w:pPr>
      <w:r>
        <w:rPr>
          <w:rFonts w:hint="eastAsia" w:ascii="仿宋_GB2312" w:hAnsi="楷体" w:eastAsia="仿宋_GB2312" w:cs="宋体"/>
          <w:kern w:val="0"/>
          <w:sz w:val="32"/>
          <w:szCs w:val="32"/>
        </w:rPr>
        <w:t>（四）单价40万元（含）以上仪器设备在二次验收前，须无故障累计运行30个工作日。</w:t>
      </w:r>
    </w:p>
    <w:p>
      <w:pPr>
        <w:spacing w:line="560" w:lineRule="exact"/>
        <w:ind w:firstLine="640" w:firstLineChars="200"/>
        <w:rPr>
          <w:rFonts w:ascii="仿宋_GB2312" w:hAnsi="楷体" w:eastAsia="仿宋_GB2312" w:cs="宋体"/>
          <w:kern w:val="0"/>
          <w:sz w:val="32"/>
          <w:szCs w:val="32"/>
        </w:rPr>
      </w:pPr>
      <w:r>
        <w:rPr>
          <w:rFonts w:hint="eastAsia" w:ascii="黑体" w:hAnsi="黑体" w:eastAsia="黑体" w:cs="宋体"/>
          <w:kern w:val="0"/>
          <w:sz w:val="32"/>
          <w:szCs w:val="32"/>
        </w:rPr>
        <w:t>第七条</w:t>
      </w:r>
      <w:r>
        <w:rPr>
          <w:rFonts w:hint="eastAsia" w:ascii="仿宋_GB2312" w:hAnsi="楷体" w:eastAsia="仿宋_GB2312" w:cs="宋体"/>
          <w:kern w:val="0"/>
          <w:sz w:val="32"/>
          <w:szCs w:val="32"/>
        </w:rPr>
        <w:t xml:space="preserve"> </w:t>
      </w:r>
      <w:r>
        <w:rPr>
          <w:rFonts w:hint="eastAsia" w:ascii="黑体" w:hAnsi="黑体" w:eastAsia="黑体" w:cs="黑体"/>
          <w:kern w:val="0"/>
          <w:sz w:val="32"/>
          <w:szCs w:val="32"/>
        </w:rPr>
        <w:t xml:space="preserve"> 建账程序</w:t>
      </w:r>
    </w:p>
    <w:p>
      <w:pPr>
        <w:spacing w:line="560" w:lineRule="exact"/>
        <w:ind w:firstLine="640" w:firstLineChars="200"/>
        <w:rPr>
          <w:rFonts w:ascii="仿宋_GB2312" w:hAnsi="楷体" w:eastAsia="仿宋_GB2312" w:cs="宋体"/>
          <w:kern w:val="0"/>
          <w:sz w:val="32"/>
          <w:szCs w:val="32"/>
        </w:rPr>
      </w:pPr>
      <w:r>
        <w:rPr>
          <w:rFonts w:hint="eastAsia" w:ascii="仿宋_GB2312" w:hAnsi="楷体" w:eastAsia="仿宋_GB2312" w:cs="宋体"/>
          <w:kern w:val="0"/>
          <w:sz w:val="32"/>
          <w:szCs w:val="32"/>
        </w:rPr>
        <w:t>（一）单价40万元（不含）以下仪器设备，由使用单位验收合格后，在学校资产管理系统建账。单价40万元（含）以上的仪器设备在设备处二次验收后建账。</w:t>
      </w:r>
    </w:p>
    <w:p>
      <w:pPr>
        <w:spacing w:line="560" w:lineRule="exact"/>
        <w:ind w:firstLine="640" w:firstLineChars="200"/>
        <w:rPr>
          <w:rFonts w:ascii="仿宋_GB2312" w:hAnsi="楷体" w:eastAsia="仿宋_GB2312" w:cs="宋体"/>
          <w:kern w:val="0"/>
          <w:sz w:val="32"/>
          <w:szCs w:val="32"/>
        </w:rPr>
      </w:pPr>
      <w:r>
        <w:rPr>
          <w:rFonts w:hint="eastAsia" w:ascii="仿宋_GB2312" w:hAnsi="楷体" w:eastAsia="仿宋_GB2312" w:cs="宋体"/>
          <w:kern w:val="0"/>
          <w:sz w:val="32"/>
          <w:szCs w:val="32"/>
        </w:rPr>
        <w:t>（二）二次验收前，使用单位须准备好设备购置审核单、招标文件、投标文件、采购合同、发票复印件、专家组签字完成的验收报告、验收工作照、资产入账卡片等材料。设备处对相关资产系统信息和文件材料进行审核，审核合格后</w:t>
      </w:r>
      <w:r>
        <w:rPr>
          <w:rFonts w:hint="eastAsia" w:ascii="仿宋_GB2312" w:hAnsi="楷体" w:eastAsia="仿宋_GB2312" w:cs="宋体"/>
          <w:kern w:val="0"/>
          <w:sz w:val="32"/>
          <w:szCs w:val="32"/>
          <w:lang w:eastAsia="zh-CN"/>
        </w:rPr>
        <w:t>，</w:t>
      </w:r>
      <w:r>
        <w:rPr>
          <w:rFonts w:hint="eastAsia" w:ascii="仿宋_GB2312" w:hAnsi="楷体" w:eastAsia="仿宋_GB2312" w:cs="宋体"/>
          <w:kern w:val="0"/>
          <w:sz w:val="32"/>
          <w:szCs w:val="32"/>
        </w:rPr>
        <w:t>方可组织专家进行二次验收。</w:t>
      </w:r>
    </w:p>
    <w:p>
      <w:pPr>
        <w:spacing w:line="560" w:lineRule="exact"/>
        <w:ind w:firstLine="640" w:firstLineChars="200"/>
        <w:rPr>
          <w:rFonts w:ascii="仿宋_GB2312" w:hAnsi="楷体" w:eastAsia="仿宋_GB2312" w:cs="宋体"/>
          <w:kern w:val="0"/>
          <w:sz w:val="32"/>
          <w:szCs w:val="32"/>
        </w:rPr>
      </w:pPr>
      <w:r>
        <w:rPr>
          <w:rFonts w:hint="eastAsia" w:ascii="仿宋_GB2312" w:hAnsi="楷体" w:eastAsia="仿宋_GB2312" w:cs="宋体"/>
          <w:kern w:val="0"/>
          <w:sz w:val="32"/>
          <w:szCs w:val="32"/>
        </w:rPr>
        <w:t>（三）二次验收完毕后，由使用单位资产管理员前往国资处办理入账手续，完成建账工作。</w:t>
      </w:r>
    </w:p>
    <w:p>
      <w:pPr>
        <w:spacing w:line="560" w:lineRule="exact"/>
        <w:ind w:firstLine="640" w:firstLineChars="200"/>
        <w:rPr>
          <w:rFonts w:ascii="仿宋_GB2312" w:hAnsi="楷体" w:eastAsia="仿宋_GB2312" w:cs="宋体"/>
          <w:kern w:val="0"/>
          <w:sz w:val="32"/>
          <w:szCs w:val="32"/>
        </w:rPr>
      </w:pPr>
      <w:r>
        <w:rPr>
          <w:rFonts w:hint="eastAsia" w:ascii="黑体" w:hAnsi="黑体" w:eastAsia="黑体" w:cs="宋体"/>
          <w:kern w:val="0"/>
          <w:sz w:val="32"/>
          <w:szCs w:val="32"/>
        </w:rPr>
        <w:t>第八条</w:t>
      </w:r>
      <w:r>
        <w:rPr>
          <w:rFonts w:hint="eastAsia" w:ascii="仿宋_GB2312" w:hAnsi="楷体" w:eastAsia="仿宋_GB2312" w:cs="宋体"/>
          <w:kern w:val="0"/>
          <w:sz w:val="32"/>
          <w:szCs w:val="32"/>
        </w:rPr>
        <w:t xml:space="preserve">  使用单位应在仪器设备安装调试完毕后，按照合同要求尽快完成技术验收，超过合同规定期限30个工作日仍未进行技术验收的，须向设备处提供相关情况的书面说明。</w:t>
      </w:r>
    </w:p>
    <w:p>
      <w:pPr>
        <w:spacing w:line="560" w:lineRule="exact"/>
        <w:ind w:firstLine="640" w:firstLineChars="200"/>
        <w:rPr>
          <w:rFonts w:ascii="仿宋_GB2312" w:hAnsi="楷体" w:eastAsia="仿宋_GB2312" w:cs="宋体"/>
          <w:kern w:val="0"/>
          <w:sz w:val="32"/>
          <w:szCs w:val="32"/>
        </w:rPr>
      </w:pPr>
      <w:r>
        <w:rPr>
          <w:rFonts w:hint="eastAsia" w:ascii="黑体" w:hAnsi="黑体" w:eastAsia="黑体" w:cs="宋体"/>
          <w:kern w:val="0"/>
          <w:sz w:val="32"/>
          <w:szCs w:val="32"/>
        </w:rPr>
        <w:t>第九条</w:t>
      </w:r>
      <w:r>
        <w:rPr>
          <w:rFonts w:hint="eastAsia" w:ascii="仿宋_GB2312" w:hAnsi="楷体" w:eastAsia="仿宋_GB2312" w:cs="宋体"/>
          <w:kern w:val="0"/>
          <w:sz w:val="32"/>
          <w:szCs w:val="32"/>
        </w:rPr>
        <w:t xml:space="preserve">  在验收过程中弄虚作假、把关不严或无故拖延验收期限，给学校造成损失的，学校将按有关规定进行处理，追究相关当事人责任。</w:t>
      </w:r>
    </w:p>
    <w:p>
      <w:pPr>
        <w:spacing w:line="560" w:lineRule="exact"/>
        <w:ind w:firstLine="640" w:firstLineChars="200"/>
        <w:rPr>
          <w:rFonts w:ascii="仿宋_GB2312" w:hAnsi="楷体" w:eastAsia="仿宋_GB2312" w:cs="宋体"/>
          <w:kern w:val="0"/>
          <w:sz w:val="32"/>
          <w:szCs w:val="32"/>
        </w:rPr>
      </w:pPr>
      <w:r>
        <w:rPr>
          <w:rFonts w:hint="eastAsia" w:ascii="黑体" w:hAnsi="黑体" w:eastAsia="黑体" w:cs="黑体"/>
          <w:kern w:val="0"/>
          <w:sz w:val="32"/>
          <w:szCs w:val="32"/>
        </w:rPr>
        <w:t>第十条</w:t>
      </w:r>
      <w:r>
        <w:rPr>
          <w:rFonts w:hint="eastAsia" w:ascii="仿宋_GB2312" w:hAnsi="楷体" w:eastAsia="仿宋_GB2312" w:cs="宋体"/>
          <w:kern w:val="0"/>
          <w:sz w:val="32"/>
          <w:szCs w:val="32"/>
        </w:rPr>
        <w:t xml:space="preserve">  珠海校区仪器设备验收建账实施参照本细则执行。</w:t>
      </w:r>
    </w:p>
    <w:p>
      <w:pPr>
        <w:spacing w:line="560" w:lineRule="exact"/>
        <w:ind w:firstLine="640" w:firstLineChars="200"/>
        <w:rPr>
          <w:rFonts w:hint="eastAsia" w:ascii="仿宋_GB2312" w:hAnsi="楷体" w:eastAsia="仿宋_GB2312" w:cs="宋体"/>
          <w:kern w:val="0"/>
          <w:sz w:val="32"/>
          <w:szCs w:val="32"/>
        </w:rPr>
      </w:pPr>
      <w:r>
        <w:rPr>
          <w:rFonts w:hint="eastAsia" w:ascii="黑体" w:hAnsi="黑体" w:eastAsia="黑体" w:cs="宋体"/>
          <w:kern w:val="0"/>
          <w:sz w:val="32"/>
          <w:szCs w:val="32"/>
        </w:rPr>
        <w:t>第十一条</w:t>
      </w:r>
      <w:r>
        <w:rPr>
          <w:rFonts w:hint="eastAsia" w:ascii="仿宋_GB2312" w:hAnsi="楷体" w:eastAsia="仿宋_GB2312" w:cs="宋体"/>
          <w:kern w:val="0"/>
          <w:sz w:val="32"/>
          <w:szCs w:val="32"/>
        </w:rPr>
        <w:t xml:space="preserve">  验收接受捐赠的仪器设备，参照本细则执行。</w:t>
      </w:r>
    </w:p>
    <w:p>
      <w:pPr>
        <w:spacing w:line="560" w:lineRule="exact"/>
        <w:ind w:firstLine="640" w:firstLineChars="200"/>
        <w:rPr>
          <w:rFonts w:ascii="仿宋_GB2312" w:hAnsi="楷体" w:eastAsia="仿宋_GB2312" w:cs="宋体"/>
          <w:kern w:val="0"/>
          <w:sz w:val="32"/>
          <w:szCs w:val="32"/>
        </w:rPr>
      </w:pPr>
      <w:r>
        <w:rPr>
          <w:rFonts w:hint="eastAsia" w:ascii="黑体" w:hAnsi="黑体" w:eastAsia="黑体" w:cs="宋体"/>
          <w:kern w:val="0"/>
          <w:sz w:val="32"/>
          <w:szCs w:val="32"/>
        </w:rPr>
        <w:t>第十二条</w:t>
      </w:r>
      <w:r>
        <w:rPr>
          <w:rFonts w:hint="eastAsia" w:ascii="仿宋_GB2312" w:hAnsi="楷体" w:eastAsia="仿宋_GB2312" w:cs="宋体"/>
          <w:kern w:val="0"/>
          <w:sz w:val="32"/>
          <w:szCs w:val="32"/>
        </w:rPr>
        <w:t xml:space="preserve">  本细则自发布之日起实施，由实验室安全与设备管理处、国有资产管理处负责解释。</w:t>
      </w:r>
    </w:p>
    <w:p/>
    <w:p/>
    <w:p/>
    <w:p/>
    <w:p/>
    <w:p/>
    <w:p/>
    <w:p/>
    <w:p/>
    <w:p/>
    <w:tbl>
      <w:tblPr>
        <w:tblStyle w:val="9"/>
        <w:tblW w:w="0" w:type="auto"/>
        <w:jc w:val="center"/>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480"/>
      </w:tblGrid>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jc w:val="center"/>
        </w:trPr>
        <w:tc>
          <w:tcPr>
            <w:tcW w:w="8480" w:type="dxa"/>
            <w:tcMar>
              <w:top w:w="0" w:type="dxa"/>
              <w:left w:w="108" w:type="dxa"/>
              <w:bottom w:w="0" w:type="dxa"/>
              <w:right w:w="108" w:type="dxa"/>
            </w:tcMar>
          </w:tcPr>
          <w:p>
            <w:pPr>
              <w:rPr>
                <w:rFonts w:ascii="仿宋_GB2312" w:hAnsi="仿宋" w:eastAsia="仿宋_GB2312"/>
                <w:sz w:val="28"/>
                <w:szCs w:val="28"/>
              </w:rPr>
            </w:pPr>
            <w:bookmarkStart w:id="4" w:name="OLE_LINK2"/>
            <w:bookmarkStart w:id="5" w:name="OLE_LINK1"/>
            <w:bookmarkStart w:id="6" w:name="OLE_LINK3"/>
            <w:r>
              <w:rPr>
                <w:rFonts w:hint="eastAsia" w:ascii="仿宋_GB2312" w:eastAsia="仿宋_GB2312"/>
                <w:spacing w:val="-4"/>
                <w:kern w:val="0"/>
                <w:sz w:val="28"/>
                <w:szCs w:val="28"/>
              </w:rPr>
              <w:t xml:space="preserve">北京师范大学校长办公室 </w:t>
            </w:r>
            <w:r>
              <w:rPr>
                <w:rFonts w:hint="eastAsia" w:ascii="仿宋_GB2312" w:hAnsi="仿宋" w:eastAsia="仿宋_GB2312"/>
                <w:sz w:val="28"/>
                <w:szCs w:val="28"/>
              </w:rPr>
              <w:t xml:space="preserve">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 xml:space="preserve">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 xml:space="preserve"> </w:t>
            </w:r>
            <w:r>
              <w:rPr>
                <w:rFonts w:hint="eastAsia" w:ascii="仿宋_GB2312" w:hAnsi="仿宋" w:eastAsia="仿宋_GB2312"/>
                <w:sz w:val="28"/>
                <w:szCs w:val="28"/>
                <w:lang w:val="en-US" w:eastAsia="zh-CN"/>
              </w:rPr>
              <w:t xml:space="preserve"> </w:t>
            </w:r>
            <w:r>
              <w:rPr>
                <w:rFonts w:ascii="仿宋_GB2312" w:hAnsi="仿宋" w:eastAsia="仿宋_GB2312"/>
                <w:sz w:val="28"/>
                <w:szCs w:val="28"/>
              </w:rPr>
              <w:t xml:space="preserve"> </w:t>
            </w:r>
            <w:r>
              <w:rPr>
                <w:rFonts w:hint="eastAsia" w:ascii="仿宋_GB2312" w:hAnsi="仿宋" w:eastAsia="仿宋_GB2312"/>
                <w:sz w:val="28"/>
                <w:szCs w:val="28"/>
              </w:rPr>
              <w:t>20</w:t>
            </w:r>
            <w:r>
              <w:rPr>
                <w:rFonts w:hint="eastAsia" w:ascii="仿宋_GB2312" w:hAnsi="仿宋" w:eastAsia="仿宋_GB2312"/>
                <w:sz w:val="28"/>
                <w:szCs w:val="28"/>
                <w:lang w:val="en-US" w:eastAsia="zh-CN"/>
              </w:rPr>
              <w:t>21</w:t>
            </w:r>
            <w:r>
              <w:rPr>
                <w:rFonts w:hint="eastAsia" w:ascii="仿宋_GB2312" w:hAnsi="仿宋" w:eastAsia="仿宋_GB2312"/>
                <w:sz w:val="28"/>
                <w:szCs w:val="28"/>
              </w:rPr>
              <w:t>年</w:t>
            </w:r>
            <w:r>
              <w:rPr>
                <w:rFonts w:hint="eastAsia" w:ascii="仿宋_GB2312" w:hAnsi="仿宋" w:eastAsia="仿宋_GB2312"/>
                <w:sz w:val="28"/>
                <w:szCs w:val="28"/>
                <w:lang w:val="en-US" w:eastAsia="zh-CN"/>
              </w:rPr>
              <w:t>12</w:t>
            </w:r>
            <w:r>
              <w:rPr>
                <w:rFonts w:hint="eastAsia" w:ascii="仿宋_GB2312" w:hAnsi="仿宋" w:eastAsia="仿宋_GB2312"/>
                <w:sz w:val="28"/>
                <w:szCs w:val="28"/>
              </w:rPr>
              <w:t>月</w:t>
            </w:r>
            <w:r>
              <w:rPr>
                <w:rFonts w:hint="eastAsia" w:ascii="仿宋_GB2312" w:hAnsi="仿宋" w:eastAsia="仿宋_GB2312"/>
                <w:sz w:val="28"/>
                <w:szCs w:val="28"/>
                <w:lang w:val="en-US" w:eastAsia="zh-CN"/>
              </w:rPr>
              <w:t>23</w:t>
            </w:r>
            <w:r>
              <w:rPr>
                <w:rFonts w:hint="eastAsia" w:ascii="仿宋_GB2312" w:hAnsi="仿宋" w:eastAsia="仿宋_GB2312"/>
                <w:sz w:val="28"/>
                <w:szCs w:val="28"/>
              </w:rPr>
              <w:t>日印发</w:t>
            </w:r>
          </w:p>
        </w:tc>
      </w:tr>
      <w:bookmarkEnd w:id="4"/>
      <w:bookmarkEnd w:id="5"/>
      <w:bookmarkEnd w:id="6"/>
    </w:tbl>
    <w:p>
      <w:pPr>
        <w:sectPr>
          <w:headerReference r:id="rId4" w:type="default"/>
          <w:footerReference r:id="rId5" w:type="default"/>
          <w:pgSz w:w="11906" w:h="16838"/>
          <w:pgMar w:top="2098" w:right="1474" w:bottom="1418" w:left="1588" w:header="851" w:footer="992" w:gutter="0"/>
          <w:cols w:space="425" w:num="1"/>
          <w:docGrid w:type="lines" w:linePitch="312" w:charSpace="0"/>
        </w:sectPr>
      </w:pPr>
    </w:p>
    <w:p/>
    <w:p/>
    <w:p/>
    <w:p/>
    <w:p/>
    <w:p/>
    <w:p/>
    <w:p/>
    <w:p/>
    <w:p/>
    <w:p/>
    <w:p/>
    <w:p/>
    <w:p/>
    <w:sectPr>
      <w:footerReference r:id="rId6" w:type="default"/>
      <w:pgSz w:w="11906" w:h="16838"/>
      <w:pgMar w:top="2098"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ascii="仿宋_GB2312" w:hAnsi="仿宋_GB2312" w:eastAsia="仿宋_GB2312" w:cs="仿宋_GB2312"/>
                              <w:sz w:val="21"/>
                              <w:szCs w:val="21"/>
                            </w:rPr>
                            <w:t>2</w:t>
                          </w:r>
                          <w:r>
                            <w:rPr>
                              <w:rFonts w:hint="eastAsia" w:ascii="仿宋_GB2312" w:hAnsi="仿宋_GB2312" w:eastAsia="仿宋_GB2312" w:cs="仿宋_GB2312"/>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fill on="f" focussize="0,0"/>
              <v:stroke on="f"/>
              <v:imagedata o:title=""/>
              <o:lock v:ext="edit" aspectratio="f"/>
              <v:textbox inset="0mm,0mm,0mm,0mm" style="mso-fit-shape-to-text:t;">
                <w:txbxContent>
                  <w:p>
                    <w:pPr>
                      <w:pStyle w:val="5"/>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ascii="仿宋_GB2312" w:hAnsi="仿宋_GB2312" w:eastAsia="仿宋_GB2312" w:cs="仿宋_GB2312"/>
                        <w:sz w:val="21"/>
                        <w:szCs w:val="21"/>
                      </w:rPr>
                      <w:t>2</w:t>
                    </w:r>
                    <w:r>
                      <w:rPr>
                        <w:rFonts w:hint="eastAsia" w:ascii="仿宋_GB2312" w:hAnsi="仿宋_GB2312" w:eastAsia="仿宋_GB2312" w:cs="仿宋_GB2312"/>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fldChar w:fldCharType="begin"/>
                          </w:r>
                          <w:r>
                            <w:rPr>
                              <w:rFonts w:hint="eastAsia" w:ascii="仿宋_GB2312" w:hAnsi="仿宋_GB2312" w:eastAsia="仿宋_GB2312" w:cs="仿宋_GB2312"/>
                              <w:sz w:val="21"/>
                              <w:szCs w:val="21"/>
                              <w:lang w:eastAsia="zh-CN"/>
                            </w:rPr>
                            <w:instrText xml:space="preserve"> PAGE  \* MERGEFORMAT </w:instrText>
                          </w:r>
                          <w:r>
                            <w:rPr>
                              <w:rFonts w:hint="eastAsia" w:ascii="仿宋_GB2312" w:hAnsi="仿宋_GB2312" w:eastAsia="仿宋_GB2312" w:cs="仿宋_GB2312"/>
                              <w:sz w:val="21"/>
                              <w:szCs w:val="21"/>
                              <w:lang w:eastAsia="zh-CN"/>
                            </w:rPr>
                            <w:fldChar w:fldCharType="separate"/>
                          </w:r>
                          <w:r>
                            <w:rPr>
                              <w:rFonts w:hint="eastAsia" w:ascii="仿宋_GB2312" w:hAnsi="仿宋_GB2312" w:eastAsia="仿宋_GB2312" w:cs="仿宋_GB2312"/>
                              <w:sz w:val="21"/>
                              <w:szCs w:val="21"/>
                              <w:lang w:eastAsia="zh-CN"/>
                            </w:rPr>
                            <w:t>1</w:t>
                          </w:r>
                          <w:r>
                            <w:rPr>
                              <w:rFonts w:hint="eastAsia" w:ascii="仿宋_GB2312" w:hAnsi="仿宋_GB2312" w:eastAsia="仿宋_GB2312" w:cs="仿宋_GB2312"/>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fldChar w:fldCharType="begin"/>
                    </w:r>
                    <w:r>
                      <w:rPr>
                        <w:rFonts w:hint="eastAsia" w:ascii="仿宋_GB2312" w:hAnsi="仿宋_GB2312" w:eastAsia="仿宋_GB2312" w:cs="仿宋_GB2312"/>
                        <w:sz w:val="21"/>
                        <w:szCs w:val="21"/>
                        <w:lang w:eastAsia="zh-CN"/>
                      </w:rPr>
                      <w:instrText xml:space="preserve"> PAGE  \* MERGEFORMAT </w:instrText>
                    </w:r>
                    <w:r>
                      <w:rPr>
                        <w:rFonts w:hint="eastAsia" w:ascii="仿宋_GB2312" w:hAnsi="仿宋_GB2312" w:eastAsia="仿宋_GB2312" w:cs="仿宋_GB2312"/>
                        <w:sz w:val="21"/>
                        <w:szCs w:val="21"/>
                        <w:lang w:eastAsia="zh-CN"/>
                      </w:rPr>
                      <w:fldChar w:fldCharType="separate"/>
                    </w:r>
                    <w:r>
                      <w:rPr>
                        <w:rFonts w:hint="eastAsia" w:ascii="仿宋_GB2312" w:hAnsi="仿宋_GB2312" w:eastAsia="仿宋_GB2312" w:cs="仿宋_GB2312"/>
                        <w:sz w:val="21"/>
                        <w:szCs w:val="21"/>
                        <w:lang w:eastAsia="zh-CN"/>
                      </w:rPr>
                      <w:t>1</w:t>
                    </w:r>
                    <w:r>
                      <w:rPr>
                        <w:rFonts w:hint="eastAsia" w:ascii="仿宋_GB2312" w:hAnsi="仿宋_GB2312" w:eastAsia="仿宋_GB2312" w:cs="仿宋_GB2312"/>
                        <w:sz w:val="21"/>
                        <w:szCs w:val="21"/>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dit="forms" w:enforcement="1" w:cryptProviderType="rsaFull" w:cryptAlgorithmClass="hash" w:cryptAlgorithmType="typeAny" w:cryptAlgorithmSid="4" w:cryptSpinCount="0" w:hash="cN6YtKp8StDjgLH6+kOJGHgbDCc=" w:salt="O/Ne2UBSXXjL16zlxKJR0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584"/>
    <w:rsid w:val="00042EB7"/>
    <w:rsid w:val="00200B37"/>
    <w:rsid w:val="0033322A"/>
    <w:rsid w:val="003E73C4"/>
    <w:rsid w:val="006D2BF2"/>
    <w:rsid w:val="006F06D8"/>
    <w:rsid w:val="007B0C70"/>
    <w:rsid w:val="00925144"/>
    <w:rsid w:val="00963EDC"/>
    <w:rsid w:val="00A37421"/>
    <w:rsid w:val="00A430B9"/>
    <w:rsid w:val="00AA290C"/>
    <w:rsid w:val="00AB6440"/>
    <w:rsid w:val="00AD3584"/>
    <w:rsid w:val="00B5658F"/>
    <w:rsid w:val="0B5E3644"/>
    <w:rsid w:val="145F38DA"/>
    <w:rsid w:val="186F0ADF"/>
    <w:rsid w:val="18953768"/>
    <w:rsid w:val="1A6C2E00"/>
    <w:rsid w:val="226452CE"/>
    <w:rsid w:val="236A7A98"/>
    <w:rsid w:val="26AA231B"/>
    <w:rsid w:val="26F1760A"/>
    <w:rsid w:val="2A976374"/>
    <w:rsid w:val="2ACA1217"/>
    <w:rsid w:val="2E022B5A"/>
    <w:rsid w:val="32977A8A"/>
    <w:rsid w:val="32ED6D7E"/>
    <w:rsid w:val="33A16886"/>
    <w:rsid w:val="3897640F"/>
    <w:rsid w:val="39FB3950"/>
    <w:rsid w:val="3C741E9F"/>
    <w:rsid w:val="3EDC351E"/>
    <w:rsid w:val="3F7D5C61"/>
    <w:rsid w:val="42A26400"/>
    <w:rsid w:val="42C56D77"/>
    <w:rsid w:val="486C1BBE"/>
    <w:rsid w:val="4B2F55B5"/>
    <w:rsid w:val="4D063154"/>
    <w:rsid w:val="4DA45198"/>
    <w:rsid w:val="556E4F48"/>
    <w:rsid w:val="582F2CCE"/>
    <w:rsid w:val="5C846503"/>
    <w:rsid w:val="5FE63813"/>
    <w:rsid w:val="60AD11C3"/>
    <w:rsid w:val="628605D6"/>
    <w:rsid w:val="66512EDC"/>
    <w:rsid w:val="686B0265"/>
    <w:rsid w:val="6A6A6668"/>
    <w:rsid w:val="6A98461B"/>
    <w:rsid w:val="6C3D0C83"/>
    <w:rsid w:val="6E8E4CB7"/>
    <w:rsid w:val="713A3CAB"/>
    <w:rsid w:val="738B4BAF"/>
    <w:rsid w:val="75EC39C5"/>
    <w:rsid w:val="7D155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25"/>
    </w:pPr>
    <w:rPr>
      <w:szCs w:val="20"/>
    </w:rPr>
  </w:style>
  <w:style w:type="paragraph" w:styleId="3">
    <w:name w:val="Date"/>
    <w:basedOn w:val="1"/>
    <w:next w:val="1"/>
    <w:link w:val="14"/>
    <w:qFormat/>
    <w:uiPriority w:val="0"/>
    <w:pPr>
      <w:adjustRightInd w:val="0"/>
      <w:spacing w:line="312" w:lineRule="atLeast"/>
      <w:textAlignment w:val="baseline"/>
    </w:pPr>
    <w:rPr>
      <w:rFonts w:ascii="楷体_GB2312" w:eastAsia="楷体_GB2312"/>
      <w:kern w:val="0"/>
      <w:sz w:val="28"/>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next w:val="1"/>
    <w:qFormat/>
    <w:uiPriority w:val="10"/>
    <w:pPr>
      <w:spacing w:before="240" w:after="60"/>
      <w:jc w:val="center"/>
      <w:outlineLvl w:val="0"/>
    </w:pPr>
    <w:rPr>
      <w:rFonts w:ascii="等线 Light" w:hAnsi="等线 Light" w:eastAsia="仿宋"/>
      <w:b/>
      <w:bCs/>
      <w:sz w:val="32"/>
      <w:szCs w:val="32"/>
    </w:rPr>
  </w:style>
  <w:style w:type="character" w:styleId="11">
    <w:name w:val="Strong"/>
    <w:qFormat/>
    <w:uiPriority w:val="22"/>
    <w:rPr>
      <w:b/>
      <w:bCs/>
    </w:rPr>
  </w:style>
  <w:style w:type="character" w:styleId="12">
    <w:name w:val="FollowedHyperlink"/>
    <w:basedOn w:val="10"/>
    <w:semiHidden/>
    <w:unhideWhenUsed/>
    <w:qFormat/>
    <w:uiPriority w:val="99"/>
    <w:rPr>
      <w:color w:val="0068BF"/>
      <w:u w:val="none"/>
    </w:rPr>
  </w:style>
  <w:style w:type="character" w:styleId="13">
    <w:name w:val="Hyperlink"/>
    <w:basedOn w:val="10"/>
    <w:semiHidden/>
    <w:unhideWhenUsed/>
    <w:qFormat/>
    <w:uiPriority w:val="99"/>
    <w:rPr>
      <w:color w:val="0000FF"/>
      <w:u w:val="single"/>
    </w:rPr>
  </w:style>
  <w:style w:type="character" w:customStyle="1" w:styleId="14">
    <w:name w:val="日期 Char"/>
    <w:basedOn w:val="10"/>
    <w:link w:val="3"/>
    <w:qFormat/>
    <w:uiPriority w:val="0"/>
    <w:rPr>
      <w:rFonts w:ascii="楷体_GB2312" w:hAnsi="Times New Roman" w:eastAsia="楷体_GB2312" w:cs="Times New Roman"/>
      <w:kern w:val="0"/>
      <w:sz w:val="28"/>
      <w:szCs w:val="20"/>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basedOn w:val="10"/>
    <w:link w:val="6"/>
    <w:qFormat/>
    <w:uiPriority w:val="99"/>
    <w:rPr>
      <w:rFonts w:ascii="Times New Roman" w:hAnsi="Times New Roman" w:eastAsia="宋体" w:cs="Times New Roman"/>
      <w:sz w:val="18"/>
      <w:szCs w:val="18"/>
    </w:rPr>
  </w:style>
  <w:style w:type="character" w:customStyle="1" w:styleId="17">
    <w:name w:val="页脚 Char"/>
    <w:basedOn w:val="10"/>
    <w:link w:val="5"/>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paragraph" w:customStyle="1" w:styleId="19">
    <w:name w:val="列出段落1"/>
    <w:basedOn w:val="1"/>
    <w:qFormat/>
    <w:uiPriority w:val="34"/>
    <w:pPr>
      <w:ind w:firstLine="420" w:firstLineChars="200"/>
    </w:pPr>
    <w:rPr>
      <w:rFonts w:ascii="Calibri" w:hAnsi="Calibri" w:cs="黑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376</Words>
  <Characters>422</Characters>
  <Lines>1</Lines>
  <Paragraphs>1</Paragraphs>
  <TotalTime>1</TotalTime>
  <ScaleCrop>false</ScaleCrop>
  <LinksUpToDate>false</LinksUpToDate>
  <CharactersWithSpaces>482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2018-10-12T03:12:00Z</dcterms:created>
  <dc:creator>曹殿芳</dc:creator>
  <cp:lastModifiedBy>校办文秘</cp:lastModifiedBy>
  <cp:lastPrinted>2021-12-16T02:50:00Z</cp:lastPrinted>
  <dcterms:modified xsi:type="dcterms:W3CDTF">2021-12-23T07:52:31Z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