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A5" w:rsidRPr="00931B62" w:rsidRDefault="00931B62" w:rsidP="00931B62">
      <w:pPr>
        <w:spacing w:line="540" w:lineRule="exact"/>
        <w:rPr>
          <w:rFonts w:ascii="仿宋" w:eastAsia="仿宋" w:hAnsi="仿宋"/>
          <w:sz w:val="30"/>
          <w:szCs w:val="30"/>
        </w:rPr>
      </w:pPr>
      <w:r w:rsidRPr="00931B62">
        <w:rPr>
          <w:rFonts w:ascii="仿宋" w:eastAsia="仿宋" w:hAnsi="仿宋" w:hint="eastAsia"/>
          <w:sz w:val="30"/>
          <w:szCs w:val="30"/>
        </w:rPr>
        <w:t>附件</w:t>
      </w:r>
      <w:r w:rsidR="0038078E">
        <w:rPr>
          <w:rFonts w:ascii="仿宋" w:eastAsia="仿宋" w:hAnsi="仿宋" w:hint="eastAsia"/>
          <w:sz w:val="30"/>
          <w:szCs w:val="30"/>
        </w:rPr>
        <w:t>2</w:t>
      </w:r>
      <w:bookmarkStart w:id="0" w:name="_GoBack"/>
      <w:bookmarkEnd w:id="0"/>
      <w:r w:rsidRPr="00931B62">
        <w:rPr>
          <w:rFonts w:ascii="仿宋" w:eastAsia="仿宋" w:hAnsi="仿宋" w:hint="eastAsia"/>
          <w:sz w:val="30"/>
          <w:szCs w:val="30"/>
        </w:rPr>
        <w:t>：</w:t>
      </w:r>
    </w:p>
    <w:p w:rsidR="00931B62" w:rsidRDefault="00931B62" w:rsidP="00931B62">
      <w:pPr>
        <w:spacing w:line="540" w:lineRule="exact"/>
        <w:rPr>
          <w:rFonts w:ascii="黑体" w:eastAsia="黑体" w:hAnsi="黑体"/>
          <w:b/>
          <w:sz w:val="36"/>
          <w:szCs w:val="36"/>
        </w:rPr>
      </w:pPr>
    </w:p>
    <w:p w:rsidR="005455A5" w:rsidRPr="005455A5" w:rsidRDefault="005455A5" w:rsidP="005455A5">
      <w:pPr>
        <w:spacing w:line="540" w:lineRule="exact"/>
        <w:jc w:val="center"/>
        <w:rPr>
          <w:rFonts w:ascii="黑体" w:eastAsia="黑体" w:hAnsi="黑体"/>
          <w:sz w:val="36"/>
          <w:szCs w:val="36"/>
        </w:rPr>
      </w:pPr>
      <w:r w:rsidRPr="005455A5">
        <w:rPr>
          <w:rFonts w:ascii="黑体" w:eastAsia="黑体" w:hAnsi="黑体" w:hint="eastAsia"/>
          <w:sz w:val="36"/>
          <w:szCs w:val="36"/>
        </w:rPr>
        <w:t>围绕高精尖产业开展</w:t>
      </w:r>
      <w:r w:rsidRPr="005455A5">
        <w:rPr>
          <w:rFonts w:ascii="黑体" w:eastAsia="黑体" w:hAnsi="黑体"/>
          <w:sz w:val="36"/>
          <w:szCs w:val="36"/>
        </w:rPr>
        <w:t>资源梳理</w:t>
      </w:r>
      <w:r w:rsidRPr="005455A5">
        <w:rPr>
          <w:rFonts w:ascii="黑体" w:eastAsia="黑体" w:hAnsi="黑体" w:hint="eastAsia"/>
          <w:sz w:val="36"/>
          <w:szCs w:val="36"/>
        </w:rPr>
        <w:t>工作实施</w:t>
      </w:r>
      <w:r w:rsidR="00A94272">
        <w:rPr>
          <w:rFonts w:ascii="黑体" w:eastAsia="黑体" w:hAnsi="黑体" w:hint="eastAsia"/>
          <w:sz w:val="36"/>
          <w:szCs w:val="36"/>
        </w:rPr>
        <w:t>重点</w:t>
      </w:r>
    </w:p>
    <w:p w:rsidR="005455A5" w:rsidRPr="005455A5" w:rsidRDefault="005455A5" w:rsidP="005455A5">
      <w:pPr>
        <w:spacing w:line="540" w:lineRule="exact"/>
        <w:jc w:val="center"/>
        <w:rPr>
          <w:rFonts w:ascii="黑体" w:eastAsia="黑体" w:hAnsi="黑体"/>
          <w:b/>
          <w:sz w:val="36"/>
          <w:szCs w:val="36"/>
        </w:rPr>
      </w:pPr>
    </w:p>
    <w:p w:rsidR="005455A5" w:rsidRPr="008E3237" w:rsidRDefault="00425CBE" w:rsidP="005455A5">
      <w:pPr>
        <w:spacing w:line="540" w:lineRule="exact"/>
        <w:ind w:firstLineChars="197" w:firstLine="591"/>
        <w:rPr>
          <w:rFonts w:ascii="仿宋" w:eastAsia="仿宋" w:hAnsi="仿宋"/>
          <w:sz w:val="30"/>
          <w:szCs w:val="30"/>
        </w:rPr>
      </w:pPr>
      <w:r>
        <w:rPr>
          <w:rFonts w:ascii="仿宋" w:eastAsia="仿宋" w:hAnsi="仿宋" w:hint="eastAsia"/>
          <w:sz w:val="30"/>
          <w:szCs w:val="30"/>
        </w:rPr>
        <w:t>2020</w:t>
      </w:r>
      <w:r w:rsidR="005455A5" w:rsidRPr="008E3237">
        <w:rPr>
          <w:rFonts w:ascii="仿宋" w:eastAsia="仿宋" w:hAnsi="仿宋" w:hint="eastAsia"/>
          <w:sz w:val="30"/>
          <w:szCs w:val="30"/>
        </w:rPr>
        <w:t>年</w:t>
      </w:r>
      <w:r w:rsidR="005455A5" w:rsidRPr="008E3237">
        <w:rPr>
          <w:rFonts w:ascii="仿宋" w:eastAsia="仿宋" w:hAnsi="仿宋"/>
          <w:sz w:val="30"/>
          <w:szCs w:val="30"/>
        </w:rPr>
        <w:t>条件平台将</w:t>
      </w:r>
      <w:r w:rsidR="005455A5" w:rsidRPr="008E3237">
        <w:rPr>
          <w:rFonts w:ascii="仿宋" w:eastAsia="仿宋" w:hAnsi="仿宋" w:hint="eastAsia"/>
          <w:sz w:val="30"/>
          <w:szCs w:val="30"/>
        </w:rPr>
        <w:t>服务</w:t>
      </w:r>
      <w:r w:rsidR="005455A5" w:rsidRPr="008E3237">
        <w:rPr>
          <w:rFonts w:ascii="仿宋" w:eastAsia="仿宋" w:hAnsi="仿宋"/>
          <w:sz w:val="30"/>
          <w:szCs w:val="30"/>
        </w:rPr>
        <w:t>高精尖产业</w:t>
      </w:r>
      <w:r w:rsidR="005455A5" w:rsidRPr="008E3237">
        <w:rPr>
          <w:rFonts w:ascii="仿宋" w:eastAsia="仿宋" w:hAnsi="仿宋" w:hint="eastAsia"/>
          <w:sz w:val="30"/>
          <w:szCs w:val="30"/>
        </w:rPr>
        <w:t>发展作为</w:t>
      </w:r>
      <w:r w:rsidR="005455A5" w:rsidRPr="008E3237">
        <w:rPr>
          <w:rFonts w:ascii="仿宋" w:eastAsia="仿宋" w:hAnsi="仿宋"/>
          <w:sz w:val="30"/>
          <w:szCs w:val="30"/>
        </w:rPr>
        <w:t>年度重点工作之一，</w:t>
      </w:r>
      <w:r w:rsidR="005455A5" w:rsidRPr="008E3237">
        <w:rPr>
          <w:rFonts w:ascii="仿宋" w:eastAsia="仿宋" w:hAnsi="仿宋" w:hint="eastAsia"/>
          <w:sz w:val="30"/>
          <w:szCs w:val="30"/>
        </w:rPr>
        <w:t>为</w:t>
      </w:r>
      <w:r w:rsidR="005455A5" w:rsidRPr="008E3237">
        <w:rPr>
          <w:rFonts w:ascii="仿宋" w:eastAsia="仿宋" w:hAnsi="仿宋"/>
          <w:sz w:val="30"/>
          <w:szCs w:val="30"/>
        </w:rPr>
        <w:t>深入推进此项工作，</w:t>
      </w:r>
      <w:r w:rsidR="008E3237">
        <w:rPr>
          <w:rFonts w:ascii="仿宋" w:eastAsia="仿宋" w:hAnsi="仿宋" w:hint="eastAsia"/>
          <w:sz w:val="30"/>
          <w:szCs w:val="30"/>
        </w:rPr>
        <w:t>在绩效</w:t>
      </w:r>
      <w:r w:rsidR="008E3237">
        <w:rPr>
          <w:rFonts w:ascii="仿宋" w:eastAsia="仿宋" w:hAnsi="仿宋"/>
          <w:sz w:val="30"/>
          <w:szCs w:val="30"/>
        </w:rPr>
        <w:t>考评</w:t>
      </w:r>
      <w:r w:rsidR="008E3237">
        <w:rPr>
          <w:rFonts w:ascii="仿宋" w:eastAsia="仿宋" w:hAnsi="仿宋" w:hint="eastAsia"/>
          <w:sz w:val="30"/>
          <w:szCs w:val="30"/>
        </w:rPr>
        <w:t>体系中设置“</w:t>
      </w:r>
      <w:r w:rsidR="008E3237" w:rsidRPr="008E3237">
        <w:rPr>
          <w:rFonts w:ascii="仿宋" w:eastAsia="仿宋" w:hAnsi="仿宋" w:hint="eastAsia"/>
          <w:sz w:val="30"/>
          <w:szCs w:val="30"/>
        </w:rPr>
        <w:t>围绕高精尖产业开展</w:t>
      </w:r>
      <w:r w:rsidR="008E3237" w:rsidRPr="008E3237">
        <w:rPr>
          <w:rFonts w:ascii="仿宋" w:eastAsia="仿宋" w:hAnsi="仿宋"/>
          <w:sz w:val="30"/>
          <w:szCs w:val="30"/>
        </w:rPr>
        <w:t>资源梳理</w:t>
      </w:r>
      <w:r w:rsidR="008E3237" w:rsidRPr="008E3237">
        <w:rPr>
          <w:rFonts w:ascii="仿宋" w:eastAsia="仿宋" w:hAnsi="仿宋" w:hint="eastAsia"/>
          <w:sz w:val="30"/>
          <w:szCs w:val="30"/>
        </w:rPr>
        <w:t>及开展的服务</w:t>
      </w:r>
      <w:r w:rsidR="008E3237" w:rsidRPr="008E3237">
        <w:rPr>
          <w:rFonts w:ascii="仿宋" w:eastAsia="仿宋" w:hAnsi="仿宋"/>
          <w:sz w:val="30"/>
          <w:szCs w:val="30"/>
        </w:rPr>
        <w:t>情况</w:t>
      </w:r>
      <w:r w:rsidR="008E3237">
        <w:rPr>
          <w:rFonts w:ascii="仿宋" w:eastAsia="仿宋" w:hAnsi="仿宋" w:hint="eastAsia"/>
          <w:sz w:val="30"/>
          <w:szCs w:val="30"/>
        </w:rPr>
        <w:t>”指标进行</w:t>
      </w:r>
      <w:r w:rsidR="008E3237">
        <w:rPr>
          <w:rFonts w:ascii="仿宋" w:eastAsia="仿宋" w:hAnsi="仿宋"/>
          <w:sz w:val="30"/>
          <w:szCs w:val="30"/>
        </w:rPr>
        <w:t>激励引导</w:t>
      </w:r>
      <w:r w:rsidR="008E3237">
        <w:rPr>
          <w:rFonts w:ascii="仿宋" w:eastAsia="仿宋" w:hAnsi="仿宋" w:hint="eastAsia"/>
          <w:sz w:val="30"/>
          <w:szCs w:val="30"/>
        </w:rPr>
        <w:t>。此项</w:t>
      </w:r>
      <w:r w:rsidR="008E3237">
        <w:rPr>
          <w:rFonts w:ascii="仿宋" w:eastAsia="仿宋" w:hAnsi="仿宋"/>
          <w:sz w:val="30"/>
          <w:szCs w:val="30"/>
        </w:rPr>
        <w:t>指标主要</w:t>
      </w:r>
      <w:r w:rsidR="008E3237">
        <w:rPr>
          <w:rFonts w:ascii="仿宋" w:eastAsia="仿宋" w:hAnsi="仿宋" w:hint="eastAsia"/>
          <w:sz w:val="30"/>
          <w:szCs w:val="30"/>
        </w:rPr>
        <w:t>围绕</w:t>
      </w:r>
      <w:r w:rsidR="008E3237">
        <w:rPr>
          <w:rFonts w:ascii="仿宋" w:eastAsia="仿宋" w:hAnsi="仿宋"/>
          <w:sz w:val="30"/>
          <w:szCs w:val="30"/>
        </w:rPr>
        <w:t>以下几个方面开展工作</w:t>
      </w:r>
      <w:r w:rsidR="008E3237">
        <w:rPr>
          <w:rFonts w:ascii="仿宋" w:eastAsia="仿宋" w:hAnsi="仿宋" w:hint="eastAsia"/>
          <w:sz w:val="30"/>
          <w:szCs w:val="30"/>
        </w:rPr>
        <w:t>，</w:t>
      </w:r>
      <w:r w:rsidR="005455A5" w:rsidRPr="008E3237">
        <w:rPr>
          <w:rFonts w:ascii="仿宋" w:eastAsia="仿宋" w:hAnsi="仿宋" w:hint="eastAsia"/>
          <w:sz w:val="30"/>
          <w:szCs w:val="30"/>
        </w:rPr>
        <w:t>一是</w:t>
      </w:r>
      <w:r w:rsidR="005455A5" w:rsidRPr="008E3237">
        <w:rPr>
          <w:rFonts w:ascii="仿宋" w:eastAsia="仿宋" w:hAnsi="仿宋"/>
          <w:sz w:val="30"/>
          <w:szCs w:val="30"/>
        </w:rPr>
        <w:t>基地</w:t>
      </w:r>
      <w:r w:rsidR="00C62C8C">
        <w:rPr>
          <w:rFonts w:ascii="仿宋" w:eastAsia="仿宋" w:hAnsi="仿宋"/>
          <w:sz w:val="30"/>
          <w:szCs w:val="30"/>
        </w:rPr>
        <w:t>、</w:t>
      </w:r>
      <w:r w:rsidR="00C62C8C">
        <w:rPr>
          <w:rFonts w:ascii="仿宋" w:eastAsia="仿宋" w:hAnsi="仿宋" w:hint="eastAsia"/>
          <w:sz w:val="30"/>
          <w:szCs w:val="30"/>
        </w:rPr>
        <w:t>领域中心</w:t>
      </w:r>
      <w:r w:rsidR="005455A5" w:rsidRPr="008E3237">
        <w:rPr>
          <w:rFonts w:ascii="仿宋" w:eastAsia="仿宋" w:hAnsi="仿宋"/>
          <w:sz w:val="30"/>
          <w:szCs w:val="30"/>
        </w:rPr>
        <w:t>依据《</w:t>
      </w:r>
      <w:r w:rsidR="005455A5" w:rsidRPr="008E3237">
        <w:rPr>
          <w:rFonts w:ascii="仿宋" w:eastAsia="仿宋" w:hAnsi="仿宋" w:hint="eastAsia"/>
          <w:sz w:val="30"/>
          <w:szCs w:val="30"/>
        </w:rPr>
        <w:t>北京市十大高精尖产业登记指导目录（2018年版）</w:t>
      </w:r>
      <w:r w:rsidR="005455A5" w:rsidRPr="008E3237">
        <w:rPr>
          <w:rFonts w:ascii="仿宋" w:eastAsia="仿宋" w:hAnsi="仿宋"/>
          <w:sz w:val="30"/>
          <w:szCs w:val="30"/>
        </w:rPr>
        <w:t>》</w:t>
      </w:r>
      <w:r w:rsidR="005455A5" w:rsidRPr="008E3237">
        <w:rPr>
          <w:rFonts w:ascii="仿宋" w:eastAsia="仿宋" w:hAnsi="仿宋" w:hint="eastAsia"/>
          <w:sz w:val="30"/>
          <w:szCs w:val="30"/>
        </w:rPr>
        <w:t>，</w:t>
      </w:r>
      <w:r w:rsidR="005455A5" w:rsidRPr="008E3237">
        <w:rPr>
          <w:rFonts w:ascii="仿宋" w:eastAsia="仿宋" w:hAnsi="仿宋"/>
          <w:sz w:val="30"/>
          <w:szCs w:val="30"/>
        </w:rPr>
        <w:t>对本基地</w:t>
      </w:r>
      <w:r w:rsidR="00C62C8C">
        <w:rPr>
          <w:rFonts w:ascii="仿宋" w:eastAsia="仿宋" w:hAnsi="仿宋"/>
          <w:sz w:val="30"/>
          <w:szCs w:val="30"/>
        </w:rPr>
        <w:t>、</w:t>
      </w:r>
      <w:r w:rsidR="00C62C8C">
        <w:rPr>
          <w:rFonts w:ascii="仿宋" w:eastAsia="仿宋" w:hAnsi="仿宋" w:hint="eastAsia"/>
          <w:sz w:val="30"/>
          <w:szCs w:val="30"/>
        </w:rPr>
        <w:t>领域中心</w:t>
      </w:r>
      <w:r w:rsidR="005455A5" w:rsidRPr="008E3237">
        <w:rPr>
          <w:rFonts w:ascii="仿宋" w:eastAsia="仿宋" w:hAnsi="仿宋" w:hint="eastAsia"/>
          <w:sz w:val="30"/>
          <w:szCs w:val="30"/>
        </w:rPr>
        <w:t>开放实验室进行服务目标梳理；二是对前期汇集的科技成果转化情况进行梳理，更新可发布科技成果转化最新情况；三是对前期提交的科技人才、高端研发团队的技术特长进行补充和完善；四是梳理本基地</w:t>
      </w:r>
      <w:r w:rsidR="00C62C8C">
        <w:rPr>
          <w:rFonts w:ascii="仿宋" w:eastAsia="仿宋" w:hAnsi="仿宋"/>
          <w:sz w:val="30"/>
          <w:szCs w:val="30"/>
        </w:rPr>
        <w:t>、</w:t>
      </w:r>
      <w:r w:rsidR="00C62C8C">
        <w:rPr>
          <w:rFonts w:ascii="仿宋" w:eastAsia="仿宋" w:hAnsi="仿宋" w:hint="eastAsia"/>
          <w:sz w:val="30"/>
          <w:szCs w:val="30"/>
        </w:rPr>
        <w:t>领域中心</w:t>
      </w:r>
      <w:r w:rsidR="005455A5" w:rsidRPr="008E3237">
        <w:rPr>
          <w:rFonts w:ascii="仿宋" w:eastAsia="仿宋" w:hAnsi="仿宋" w:hint="eastAsia"/>
          <w:sz w:val="30"/>
          <w:szCs w:val="30"/>
        </w:rPr>
        <w:t>开放实验室中较成熟、服务价格明确、能够向社会公布的优势测试或研发服务产品情况</w:t>
      </w:r>
      <w:r w:rsidR="005455A5" w:rsidRPr="008E3237">
        <w:rPr>
          <w:rFonts w:ascii="仿宋" w:eastAsia="仿宋" w:hAnsi="仿宋"/>
          <w:sz w:val="30"/>
          <w:szCs w:val="30"/>
        </w:rPr>
        <w:t>；</w:t>
      </w:r>
      <w:r w:rsidR="005455A5" w:rsidRPr="008E3237">
        <w:rPr>
          <w:rFonts w:ascii="仿宋" w:eastAsia="仿宋" w:hAnsi="仿宋" w:hint="eastAsia"/>
          <w:sz w:val="30"/>
          <w:szCs w:val="30"/>
        </w:rPr>
        <w:t>五是围绕高精尖产业开展</w:t>
      </w:r>
      <w:r w:rsidR="005455A5" w:rsidRPr="008E3237">
        <w:rPr>
          <w:rFonts w:ascii="仿宋" w:eastAsia="仿宋" w:hAnsi="仿宋"/>
          <w:sz w:val="30"/>
          <w:szCs w:val="30"/>
        </w:rPr>
        <w:t>的</w:t>
      </w:r>
      <w:r w:rsidR="005455A5" w:rsidRPr="008E3237">
        <w:rPr>
          <w:rFonts w:ascii="仿宋" w:eastAsia="仿宋" w:hAnsi="仿宋" w:hint="eastAsia"/>
          <w:sz w:val="30"/>
          <w:szCs w:val="30"/>
        </w:rPr>
        <w:t>服务</w:t>
      </w:r>
      <w:r w:rsidR="005455A5" w:rsidRPr="008E3237">
        <w:rPr>
          <w:rFonts w:ascii="仿宋" w:eastAsia="仿宋" w:hAnsi="仿宋"/>
          <w:sz w:val="30"/>
          <w:szCs w:val="30"/>
        </w:rPr>
        <w:t>情况。</w:t>
      </w:r>
      <w:r w:rsidR="005455A5" w:rsidRPr="008E3237">
        <w:rPr>
          <w:rFonts w:ascii="仿宋" w:eastAsia="仿宋" w:hAnsi="仿宋" w:hint="eastAsia"/>
          <w:sz w:val="30"/>
          <w:szCs w:val="30"/>
        </w:rPr>
        <w:t>其中</w:t>
      </w:r>
      <w:r w:rsidR="008E3237">
        <w:rPr>
          <w:rFonts w:ascii="仿宋" w:eastAsia="仿宋" w:hAnsi="仿宋" w:hint="eastAsia"/>
          <w:sz w:val="30"/>
          <w:szCs w:val="30"/>
        </w:rPr>
        <w:t>针对开放实验室</w:t>
      </w:r>
      <w:r w:rsidR="008E3237">
        <w:rPr>
          <w:rFonts w:ascii="仿宋" w:eastAsia="仿宋" w:hAnsi="仿宋"/>
          <w:sz w:val="30"/>
          <w:szCs w:val="30"/>
        </w:rPr>
        <w:t>服务目录</w:t>
      </w:r>
      <w:r w:rsidR="008E3237">
        <w:rPr>
          <w:rFonts w:ascii="仿宋" w:eastAsia="仿宋" w:hAnsi="仿宋" w:hint="eastAsia"/>
          <w:sz w:val="30"/>
          <w:szCs w:val="30"/>
        </w:rPr>
        <w:t>、</w:t>
      </w:r>
      <w:r w:rsidR="008E3237" w:rsidRPr="008E3237">
        <w:rPr>
          <w:rFonts w:ascii="仿宋" w:eastAsia="仿宋" w:hAnsi="仿宋" w:hint="eastAsia"/>
          <w:sz w:val="30"/>
          <w:szCs w:val="30"/>
        </w:rPr>
        <w:t>科技成果转化情况及服务产品的</w:t>
      </w:r>
      <w:r w:rsidR="008E3237" w:rsidRPr="008E3237">
        <w:rPr>
          <w:rFonts w:ascii="仿宋" w:eastAsia="仿宋" w:hAnsi="仿宋"/>
          <w:sz w:val="30"/>
          <w:szCs w:val="30"/>
        </w:rPr>
        <w:t>梳理，工作</w:t>
      </w:r>
      <w:r w:rsidR="00A94272">
        <w:rPr>
          <w:rFonts w:ascii="仿宋" w:eastAsia="仿宋" w:hAnsi="仿宋" w:hint="eastAsia"/>
          <w:sz w:val="30"/>
          <w:szCs w:val="30"/>
        </w:rPr>
        <w:t>要求</w:t>
      </w:r>
      <w:r w:rsidR="008E3237" w:rsidRPr="008E3237">
        <w:rPr>
          <w:rFonts w:ascii="仿宋" w:eastAsia="仿宋" w:hAnsi="仿宋"/>
          <w:sz w:val="30"/>
          <w:szCs w:val="30"/>
        </w:rPr>
        <w:t>如下：</w:t>
      </w:r>
    </w:p>
    <w:p w:rsidR="008E3237" w:rsidRPr="008E3237" w:rsidRDefault="001B5C41" w:rsidP="008E3237">
      <w:pPr>
        <w:pStyle w:val="a8"/>
        <w:numPr>
          <w:ilvl w:val="0"/>
          <w:numId w:val="1"/>
        </w:numPr>
        <w:spacing w:line="540" w:lineRule="exact"/>
        <w:ind w:firstLineChars="0"/>
        <w:rPr>
          <w:rFonts w:ascii="黑体" w:eastAsia="黑体" w:hAnsi="黑体"/>
          <w:sz w:val="32"/>
          <w:szCs w:val="32"/>
        </w:rPr>
      </w:pPr>
      <w:r w:rsidRPr="008E3237">
        <w:rPr>
          <w:rFonts w:ascii="黑体" w:eastAsia="黑体" w:hAnsi="黑体" w:hint="eastAsia"/>
          <w:sz w:val="32"/>
          <w:szCs w:val="32"/>
        </w:rPr>
        <w:t>开放实验室服务目录梳理的具体做法</w:t>
      </w:r>
    </w:p>
    <w:p w:rsidR="001B5C41" w:rsidRPr="008E3237" w:rsidRDefault="001B5C41" w:rsidP="008E3237">
      <w:pPr>
        <w:spacing w:line="540" w:lineRule="exact"/>
        <w:ind w:firstLineChars="200" w:firstLine="600"/>
        <w:rPr>
          <w:rFonts w:ascii="仿宋" w:eastAsia="仿宋" w:hAnsi="仿宋"/>
          <w:sz w:val="30"/>
          <w:szCs w:val="30"/>
        </w:rPr>
      </w:pPr>
      <w:r w:rsidRPr="008E3237">
        <w:rPr>
          <w:rFonts w:ascii="仿宋" w:eastAsia="仿宋" w:hAnsi="仿宋" w:hint="eastAsia"/>
          <w:sz w:val="30"/>
          <w:szCs w:val="30"/>
        </w:rPr>
        <w:t>将前期上报的实验室、工程技术中心等开放</w:t>
      </w:r>
      <w:r w:rsidRPr="008E3237">
        <w:rPr>
          <w:rFonts w:ascii="仿宋" w:eastAsia="仿宋" w:hAnsi="仿宋"/>
          <w:sz w:val="30"/>
          <w:szCs w:val="30"/>
        </w:rPr>
        <w:t>实验室</w:t>
      </w:r>
      <w:r w:rsidRPr="008E3237">
        <w:rPr>
          <w:rFonts w:ascii="仿宋" w:eastAsia="仿宋" w:hAnsi="仿宋" w:hint="eastAsia"/>
          <w:sz w:val="30"/>
          <w:szCs w:val="30"/>
        </w:rPr>
        <w:t>与</w:t>
      </w:r>
      <w:r w:rsidRPr="008E3237">
        <w:rPr>
          <w:rFonts w:ascii="仿宋" w:eastAsia="仿宋" w:hAnsi="仿宋"/>
          <w:sz w:val="30"/>
          <w:szCs w:val="30"/>
        </w:rPr>
        <w:t>《</w:t>
      </w:r>
      <w:r w:rsidRPr="008E3237">
        <w:rPr>
          <w:rFonts w:ascii="仿宋" w:eastAsia="仿宋" w:hAnsi="仿宋" w:hint="eastAsia"/>
          <w:sz w:val="30"/>
          <w:szCs w:val="30"/>
        </w:rPr>
        <w:t>北京市十大高精尖产业登记指导目录（2018年版）</w:t>
      </w:r>
      <w:r w:rsidRPr="008E3237">
        <w:rPr>
          <w:rFonts w:ascii="仿宋" w:eastAsia="仿宋" w:hAnsi="仿宋"/>
          <w:sz w:val="30"/>
          <w:szCs w:val="30"/>
        </w:rPr>
        <w:t>》</w:t>
      </w:r>
      <w:r w:rsidRPr="008E3237">
        <w:rPr>
          <w:rFonts w:ascii="仿宋" w:eastAsia="仿宋" w:hAnsi="仿宋" w:hint="eastAsia"/>
          <w:sz w:val="30"/>
          <w:szCs w:val="30"/>
        </w:rPr>
        <w:t>中的行业代码进行对应，一个实验室可对应多个行业代码，做到每一个开放实验室能够按照高精尖产业服务目录进行分类管理，更精准、便捷、有效服务高精尖产业发展。填报表格如下：</w:t>
      </w:r>
    </w:p>
    <w:tbl>
      <w:tblPr>
        <w:tblW w:w="9146" w:type="dxa"/>
        <w:jc w:val="center"/>
        <w:tblLayout w:type="fixed"/>
        <w:tblCellMar>
          <w:top w:w="15" w:type="dxa"/>
          <w:left w:w="15" w:type="dxa"/>
          <w:bottom w:w="15" w:type="dxa"/>
          <w:right w:w="15" w:type="dxa"/>
        </w:tblCellMar>
        <w:tblLook w:val="0000" w:firstRow="0" w:lastRow="0" w:firstColumn="0" w:lastColumn="0" w:noHBand="0" w:noVBand="0"/>
      </w:tblPr>
      <w:tblGrid>
        <w:gridCol w:w="597"/>
        <w:gridCol w:w="1970"/>
        <w:gridCol w:w="1276"/>
        <w:gridCol w:w="1276"/>
        <w:gridCol w:w="850"/>
        <w:gridCol w:w="1276"/>
        <w:gridCol w:w="1901"/>
      </w:tblGrid>
      <w:tr w:rsidR="001B5C41" w:rsidRPr="008E3237" w:rsidTr="002713E8">
        <w:trPr>
          <w:trHeight w:val="570"/>
          <w:jc w:val="center"/>
        </w:trPr>
        <w:tc>
          <w:tcPr>
            <w:tcW w:w="59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序号</w:t>
            </w:r>
          </w:p>
        </w:tc>
        <w:tc>
          <w:tcPr>
            <w:tcW w:w="197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实验室名称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行业大类</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行业小类</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行业代码</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名称</w:t>
            </w:r>
          </w:p>
        </w:tc>
        <w:tc>
          <w:tcPr>
            <w:tcW w:w="190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经营范围表述</w:t>
            </w:r>
          </w:p>
        </w:tc>
      </w:tr>
      <w:tr w:rsidR="001B5C41" w:rsidRPr="008E3237" w:rsidTr="002713E8">
        <w:trPr>
          <w:trHeight w:val="570"/>
          <w:jc w:val="center"/>
        </w:trPr>
        <w:tc>
          <w:tcPr>
            <w:tcW w:w="59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1</w:t>
            </w:r>
          </w:p>
        </w:tc>
        <w:tc>
          <w:tcPr>
            <w:tcW w:w="197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**实验室</w:t>
            </w:r>
          </w:p>
          <w:p w:rsidR="001B5C41" w:rsidRPr="008E3237" w:rsidRDefault="001B5C41" w:rsidP="002713E8">
            <w:pPr>
              <w:widowControl/>
              <w:snapToGrid w:val="0"/>
              <w:jc w:val="center"/>
              <w:textAlignment w:val="center"/>
              <w:rPr>
                <w:rFonts w:ascii="仿宋" w:eastAsia="仿宋" w:hAnsi="仿宋"/>
                <w:sz w:val="30"/>
                <w:szCs w:val="3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新一代信息技术</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移动通信关键设备和宽带光</w:t>
            </w:r>
            <w:r w:rsidRPr="008E3237">
              <w:rPr>
                <w:rFonts w:ascii="仿宋" w:eastAsia="仿宋" w:hAnsi="仿宋" w:hint="eastAsia"/>
                <w:sz w:val="30"/>
                <w:szCs w:val="30"/>
              </w:rPr>
              <w:lastRenderedPageBreak/>
              <w:t>通信传输和接入关键设备</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lastRenderedPageBreak/>
              <w:t>3921</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通信系统设备制造</w:t>
            </w:r>
          </w:p>
        </w:tc>
        <w:tc>
          <w:tcPr>
            <w:tcW w:w="190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制造移动通信系统设备和宽带光通信传输</w:t>
            </w:r>
            <w:r w:rsidRPr="008E3237">
              <w:rPr>
                <w:rFonts w:ascii="仿宋" w:eastAsia="仿宋" w:hAnsi="仿宋" w:hint="eastAsia"/>
                <w:sz w:val="30"/>
                <w:szCs w:val="30"/>
              </w:rPr>
              <w:lastRenderedPageBreak/>
              <w:t>和接入设备</w:t>
            </w:r>
          </w:p>
        </w:tc>
      </w:tr>
      <w:tr w:rsidR="001B5C41" w:rsidRPr="008E3237" w:rsidTr="002713E8">
        <w:trPr>
          <w:trHeight w:val="570"/>
          <w:jc w:val="center"/>
        </w:trPr>
        <w:tc>
          <w:tcPr>
            <w:tcW w:w="59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lastRenderedPageBreak/>
              <w:t>2</w:t>
            </w:r>
          </w:p>
        </w:tc>
        <w:tc>
          <w:tcPr>
            <w:tcW w:w="197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**工程技术中心</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新能源智能汽车</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智能车载设备制造</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3962</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智能车载设备制造</w:t>
            </w:r>
          </w:p>
        </w:tc>
        <w:tc>
          <w:tcPr>
            <w:tcW w:w="190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制造智能车载设备</w:t>
            </w:r>
          </w:p>
        </w:tc>
      </w:tr>
      <w:tr w:rsidR="001B5C41" w:rsidRPr="008E3237" w:rsidTr="002713E8">
        <w:trPr>
          <w:trHeight w:val="570"/>
          <w:jc w:val="center"/>
        </w:trPr>
        <w:tc>
          <w:tcPr>
            <w:tcW w:w="59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w:t>
            </w:r>
          </w:p>
        </w:tc>
        <w:tc>
          <w:tcPr>
            <w:tcW w:w="197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90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r>
    </w:tbl>
    <w:p w:rsidR="008E3237" w:rsidRDefault="008E3237" w:rsidP="001B5C41">
      <w:pPr>
        <w:spacing w:line="540" w:lineRule="exact"/>
        <w:ind w:firstLineChars="197" w:firstLine="593"/>
        <w:rPr>
          <w:rFonts w:ascii="仿宋" w:eastAsia="仿宋" w:hAnsi="仿宋"/>
          <w:b/>
          <w:sz w:val="30"/>
          <w:szCs w:val="30"/>
        </w:rPr>
      </w:pPr>
    </w:p>
    <w:p w:rsidR="008E3237" w:rsidRPr="008E3237" w:rsidRDefault="001B5C41" w:rsidP="008E3237">
      <w:pPr>
        <w:pStyle w:val="a8"/>
        <w:numPr>
          <w:ilvl w:val="0"/>
          <w:numId w:val="1"/>
        </w:numPr>
        <w:spacing w:line="540" w:lineRule="exact"/>
        <w:ind w:firstLineChars="0"/>
        <w:rPr>
          <w:rFonts w:ascii="黑体" w:eastAsia="黑体" w:hAnsi="黑体"/>
          <w:sz w:val="32"/>
          <w:szCs w:val="32"/>
        </w:rPr>
      </w:pPr>
      <w:r w:rsidRPr="008E3237">
        <w:rPr>
          <w:rFonts w:ascii="黑体" w:eastAsia="黑体" w:hAnsi="黑体" w:hint="eastAsia"/>
          <w:sz w:val="32"/>
          <w:szCs w:val="32"/>
        </w:rPr>
        <w:t>科技成果转化情况的梳理方法</w:t>
      </w:r>
    </w:p>
    <w:p w:rsidR="001B5C41" w:rsidRPr="008E3237" w:rsidRDefault="001B5C41" w:rsidP="008E3237">
      <w:pPr>
        <w:spacing w:line="540" w:lineRule="exact"/>
        <w:ind w:firstLineChars="200" w:firstLine="600"/>
        <w:rPr>
          <w:rFonts w:ascii="仿宋" w:eastAsia="仿宋" w:hAnsi="仿宋"/>
          <w:b/>
          <w:sz w:val="30"/>
          <w:szCs w:val="30"/>
        </w:rPr>
      </w:pPr>
      <w:r w:rsidRPr="008E3237">
        <w:rPr>
          <w:rFonts w:ascii="仿宋" w:eastAsia="仿宋" w:hAnsi="仿宋" w:hint="eastAsia"/>
          <w:sz w:val="30"/>
          <w:szCs w:val="30"/>
        </w:rPr>
        <w:t>各基地</w:t>
      </w:r>
      <w:r w:rsidR="00C62C8C">
        <w:rPr>
          <w:rFonts w:ascii="仿宋" w:eastAsia="仿宋" w:hAnsi="仿宋"/>
          <w:sz w:val="30"/>
          <w:szCs w:val="30"/>
        </w:rPr>
        <w:t>、</w:t>
      </w:r>
      <w:r w:rsidR="00C62C8C">
        <w:rPr>
          <w:rFonts w:ascii="仿宋" w:eastAsia="仿宋" w:hAnsi="仿宋" w:hint="eastAsia"/>
          <w:sz w:val="30"/>
          <w:szCs w:val="30"/>
        </w:rPr>
        <w:t>领域中心</w:t>
      </w:r>
      <w:r w:rsidRPr="008E3237">
        <w:rPr>
          <w:rFonts w:ascii="仿宋" w:eastAsia="仿宋" w:hAnsi="仿宋" w:hint="eastAsia"/>
          <w:sz w:val="30"/>
          <w:szCs w:val="30"/>
        </w:rPr>
        <w:t>将已报送在条件平台信息系统中的科技成果，对应</w:t>
      </w:r>
      <w:r w:rsidRPr="008E3237">
        <w:rPr>
          <w:rFonts w:ascii="仿宋" w:eastAsia="仿宋" w:hAnsi="仿宋"/>
          <w:sz w:val="30"/>
          <w:szCs w:val="30"/>
        </w:rPr>
        <w:t>《</w:t>
      </w:r>
      <w:r w:rsidRPr="008E3237">
        <w:rPr>
          <w:rFonts w:ascii="仿宋" w:eastAsia="仿宋" w:hAnsi="仿宋" w:hint="eastAsia"/>
          <w:sz w:val="30"/>
          <w:szCs w:val="30"/>
        </w:rPr>
        <w:t>北京市十大高精尖产业登记指导目录（2018年版）</w:t>
      </w:r>
      <w:r w:rsidRPr="008E3237">
        <w:rPr>
          <w:rFonts w:ascii="仿宋" w:eastAsia="仿宋" w:hAnsi="仿宋"/>
          <w:sz w:val="30"/>
          <w:szCs w:val="30"/>
        </w:rPr>
        <w:t>》，</w:t>
      </w:r>
      <w:r w:rsidRPr="008E3237">
        <w:rPr>
          <w:rFonts w:ascii="仿宋" w:eastAsia="仿宋" w:hAnsi="仿宋" w:hint="eastAsia"/>
          <w:sz w:val="30"/>
          <w:szCs w:val="30"/>
        </w:rPr>
        <w:t>更新所属技术领域，并依以下五种情况进行分析梳理，填报表格如下：</w:t>
      </w:r>
    </w:p>
    <w:tbl>
      <w:tblPr>
        <w:tblW w:w="9146" w:type="dxa"/>
        <w:tblLayout w:type="fixed"/>
        <w:tblCellMar>
          <w:top w:w="15" w:type="dxa"/>
          <w:left w:w="15" w:type="dxa"/>
          <w:bottom w:w="15" w:type="dxa"/>
          <w:right w:w="15" w:type="dxa"/>
        </w:tblCellMar>
        <w:tblLook w:val="0000" w:firstRow="0" w:lastRow="0" w:firstColumn="0" w:lastColumn="0" w:noHBand="0" w:noVBand="0"/>
      </w:tblPr>
      <w:tblGrid>
        <w:gridCol w:w="724"/>
        <w:gridCol w:w="1418"/>
        <w:gridCol w:w="1559"/>
        <w:gridCol w:w="1984"/>
        <w:gridCol w:w="851"/>
        <w:gridCol w:w="850"/>
        <w:gridCol w:w="1760"/>
      </w:tblGrid>
      <w:tr w:rsidR="001B5C41" w:rsidRPr="008E3237" w:rsidTr="002713E8">
        <w:trPr>
          <w:trHeight w:val="570"/>
        </w:trPr>
        <w:tc>
          <w:tcPr>
            <w:tcW w:w="72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科技成果</w:t>
            </w:r>
          </w:p>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名称</w:t>
            </w:r>
          </w:p>
        </w:tc>
        <w:tc>
          <w:tcPr>
            <w:tcW w:w="1559"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所属行业</w:t>
            </w:r>
          </w:p>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类型</w:t>
            </w:r>
          </w:p>
        </w:tc>
        <w:tc>
          <w:tcPr>
            <w:tcW w:w="198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对应的行业</w:t>
            </w:r>
          </w:p>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小类</w:t>
            </w:r>
          </w:p>
        </w:tc>
        <w:tc>
          <w:tcPr>
            <w:tcW w:w="85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行业代码</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转化情况</w:t>
            </w:r>
          </w:p>
        </w:tc>
        <w:tc>
          <w:tcPr>
            <w:tcW w:w="176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b/>
                <w:sz w:val="30"/>
                <w:szCs w:val="30"/>
              </w:rPr>
            </w:pPr>
            <w:r w:rsidRPr="008E3237">
              <w:rPr>
                <w:rFonts w:ascii="仿宋" w:eastAsia="仿宋" w:hAnsi="仿宋" w:hint="eastAsia"/>
                <w:b/>
                <w:sz w:val="30"/>
                <w:szCs w:val="30"/>
              </w:rPr>
              <w:t>备注</w:t>
            </w:r>
          </w:p>
        </w:tc>
      </w:tr>
      <w:tr w:rsidR="001B5C41" w:rsidRPr="008E3237" w:rsidTr="002713E8">
        <w:trPr>
          <w:trHeight w:val="570"/>
        </w:trPr>
        <w:tc>
          <w:tcPr>
            <w:tcW w:w="72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**成果</w:t>
            </w:r>
          </w:p>
          <w:p w:rsidR="001B5C41" w:rsidRPr="008E3237" w:rsidRDefault="001B5C41" w:rsidP="002713E8">
            <w:pPr>
              <w:widowControl/>
              <w:snapToGrid w:val="0"/>
              <w:jc w:val="center"/>
              <w:textAlignment w:val="center"/>
              <w:rPr>
                <w:rFonts w:ascii="仿宋" w:eastAsia="仿宋" w:hAnsi="仿宋"/>
                <w:sz w:val="30"/>
                <w:szCs w:val="3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新一代信息技术</w:t>
            </w:r>
          </w:p>
        </w:tc>
        <w:tc>
          <w:tcPr>
            <w:tcW w:w="198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移动通信关键设备和宽带光通信传输和接入关键设备</w:t>
            </w:r>
          </w:p>
        </w:tc>
        <w:tc>
          <w:tcPr>
            <w:tcW w:w="85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3921</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1</w:t>
            </w:r>
          </w:p>
          <w:p w:rsidR="001B5C41" w:rsidRPr="008E3237" w:rsidRDefault="001B5C41" w:rsidP="002713E8">
            <w:pPr>
              <w:widowControl/>
              <w:snapToGrid w:val="0"/>
              <w:jc w:val="center"/>
              <w:textAlignment w:val="center"/>
              <w:rPr>
                <w:rFonts w:ascii="仿宋" w:eastAsia="仿宋" w:hAnsi="仿宋"/>
                <w:sz w:val="30"/>
                <w:szCs w:val="30"/>
              </w:rPr>
            </w:pPr>
          </w:p>
          <w:p w:rsidR="001B5C41" w:rsidRPr="008E3237" w:rsidRDefault="001B5C41" w:rsidP="002713E8">
            <w:pPr>
              <w:widowControl/>
              <w:snapToGrid w:val="0"/>
              <w:jc w:val="center"/>
              <w:textAlignment w:val="center"/>
              <w:rPr>
                <w:rFonts w:ascii="仿宋" w:eastAsia="仿宋" w:hAnsi="仿宋"/>
                <w:sz w:val="30"/>
                <w:szCs w:val="30"/>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（需要对科技成果应用进行补充的内容，如重要的贡献、京内京外国外企业的特别反响等。）</w:t>
            </w:r>
          </w:p>
        </w:tc>
      </w:tr>
      <w:tr w:rsidR="001B5C41" w:rsidRPr="008E3237" w:rsidTr="002713E8">
        <w:trPr>
          <w:trHeight w:val="570"/>
        </w:trPr>
        <w:tc>
          <w:tcPr>
            <w:tcW w:w="72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**成果</w:t>
            </w:r>
          </w:p>
        </w:tc>
        <w:tc>
          <w:tcPr>
            <w:tcW w:w="1559"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新能源智能汽车</w:t>
            </w:r>
          </w:p>
        </w:tc>
        <w:tc>
          <w:tcPr>
            <w:tcW w:w="198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智能车载设备制造</w:t>
            </w:r>
          </w:p>
        </w:tc>
        <w:tc>
          <w:tcPr>
            <w:tcW w:w="85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3962</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2</w:t>
            </w:r>
          </w:p>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3</w:t>
            </w:r>
          </w:p>
        </w:tc>
        <w:tc>
          <w:tcPr>
            <w:tcW w:w="176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r>
      <w:tr w:rsidR="001B5C41" w:rsidRPr="008E3237" w:rsidTr="002713E8">
        <w:trPr>
          <w:trHeight w:val="570"/>
        </w:trPr>
        <w:tc>
          <w:tcPr>
            <w:tcW w:w="72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r>
    </w:tbl>
    <w:p w:rsidR="001B5C41" w:rsidRPr="008E3237" w:rsidRDefault="001B5C41" w:rsidP="001B5C41">
      <w:pPr>
        <w:spacing w:line="540" w:lineRule="exact"/>
        <w:ind w:firstLineChars="197" w:firstLine="591"/>
        <w:rPr>
          <w:rFonts w:ascii="仿宋" w:eastAsia="仿宋" w:hAnsi="仿宋"/>
          <w:sz w:val="30"/>
          <w:szCs w:val="30"/>
        </w:rPr>
      </w:pPr>
      <w:r w:rsidRPr="008E3237">
        <w:rPr>
          <w:rFonts w:ascii="仿宋" w:eastAsia="仿宋" w:hAnsi="仿宋" w:hint="eastAsia"/>
          <w:sz w:val="30"/>
          <w:szCs w:val="30"/>
        </w:rPr>
        <w:t>五种转化具体情况如下：</w:t>
      </w:r>
    </w:p>
    <w:p w:rsidR="001B5C41" w:rsidRPr="008E3237" w:rsidRDefault="001B5C41" w:rsidP="001B5C41">
      <w:pPr>
        <w:spacing w:line="540" w:lineRule="exact"/>
        <w:ind w:firstLineChars="197" w:firstLine="591"/>
        <w:rPr>
          <w:rFonts w:ascii="仿宋" w:eastAsia="仿宋" w:hAnsi="仿宋"/>
          <w:sz w:val="30"/>
          <w:szCs w:val="30"/>
        </w:rPr>
      </w:pPr>
      <w:r w:rsidRPr="008E3237">
        <w:rPr>
          <w:rFonts w:ascii="仿宋" w:eastAsia="仿宋" w:hAnsi="仿宋" w:hint="eastAsia"/>
          <w:sz w:val="30"/>
          <w:szCs w:val="30"/>
        </w:rPr>
        <w:t>第一种，科技成果已自行转化为产品，并为企业产生了收入。用1表示；</w:t>
      </w:r>
    </w:p>
    <w:p w:rsidR="001B5C41" w:rsidRPr="008E3237" w:rsidRDefault="001B5C41" w:rsidP="001B5C41">
      <w:pPr>
        <w:spacing w:line="540" w:lineRule="exact"/>
        <w:ind w:firstLineChars="197" w:firstLine="591"/>
        <w:rPr>
          <w:rFonts w:ascii="仿宋" w:eastAsia="仿宋" w:hAnsi="仿宋"/>
          <w:sz w:val="30"/>
          <w:szCs w:val="30"/>
        </w:rPr>
      </w:pPr>
      <w:r w:rsidRPr="008E3237">
        <w:rPr>
          <w:rFonts w:ascii="仿宋" w:eastAsia="仿宋" w:hAnsi="仿宋" w:hint="eastAsia"/>
          <w:sz w:val="30"/>
          <w:szCs w:val="30"/>
        </w:rPr>
        <w:t>第二种，科技成果已被其它企业应用，成果拥有单位通过技术服务或技术转让获得了收入。用2表示；</w:t>
      </w:r>
    </w:p>
    <w:p w:rsidR="001B5C41" w:rsidRPr="008E3237" w:rsidRDefault="001B5C41" w:rsidP="001B5C41">
      <w:pPr>
        <w:spacing w:line="540" w:lineRule="exact"/>
        <w:ind w:firstLineChars="197" w:firstLine="591"/>
        <w:rPr>
          <w:rFonts w:ascii="仿宋" w:eastAsia="仿宋" w:hAnsi="仿宋"/>
          <w:sz w:val="30"/>
          <w:szCs w:val="30"/>
        </w:rPr>
      </w:pPr>
      <w:r w:rsidRPr="008E3237">
        <w:rPr>
          <w:rFonts w:ascii="仿宋" w:eastAsia="仿宋" w:hAnsi="仿宋" w:hint="eastAsia"/>
          <w:sz w:val="30"/>
          <w:szCs w:val="30"/>
        </w:rPr>
        <w:t>第三种，科技成果未形成单独的市场销售产品，成果拥有单位将该技术用于解决了现有的社会具体需求中的某一环节、或用于已承担的重点工程中。用3表示；</w:t>
      </w:r>
    </w:p>
    <w:p w:rsidR="001B5C41" w:rsidRPr="008E3237" w:rsidRDefault="001B5C41" w:rsidP="001B5C41">
      <w:pPr>
        <w:spacing w:line="540" w:lineRule="exact"/>
        <w:ind w:firstLineChars="197" w:firstLine="591"/>
        <w:rPr>
          <w:rFonts w:ascii="仿宋" w:eastAsia="仿宋" w:hAnsi="仿宋"/>
          <w:sz w:val="30"/>
          <w:szCs w:val="30"/>
        </w:rPr>
      </w:pPr>
      <w:r w:rsidRPr="008E3237">
        <w:rPr>
          <w:rFonts w:ascii="仿宋" w:eastAsia="仿宋" w:hAnsi="仿宋" w:hint="eastAsia"/>
          <w:sz w:val="30"/>
          <w:szCs w:val="30"/>
        </w:rPr>
        <w:t>第四种，科技成果服务科技进步，科技成果仅在研究方面获得了成效，如：产生专利，取得奖励，在顶级会议顶级刊物上发表。用4表示；</w:t>
      </w:r>
    </w:p>
    <w:p w:rsidR="008E3237" w:rsidRPr="008E3237" w:rsidRDefault="001B5C41" w:rsidP="008E3237">
      <w:pPr>
        <w:spacing w:line="540" w:lineRule="exact"/>
        <w:ind w:firstLineChars="197" w:firstLine="591"/>
        <w:rPr>
          <w:rFonts w:ascii="仿宋" w:eastAsia="仿宋" w:hAnsi="仿宋"/>
          <w:sz w:val="30"/>
          <w:szCs w:val="30"/>
        </w:rPr>
      </w:pPr>
      <w:r w:rsidRPr="008E3237">
        <w:rPr>
          <w:rFonts w:ascii="仿宋" w:eastAsia="仿宋" w:hAnsi="仿宋" w:hint="eastAsia"/>
          <w:sz w:val="30"/>
          <w:szCs w:val="30"/>
        </w:rPr>
        <w:t>第五种，科技成果仅服务了创新基础的培育，表现在人才培养的成果项目、人才引进时为引进人才设立的项目、属一般性的国际科技交流项目、科普项目）。用5表示。</w:t>
      </w:r>
    </w:p>
    <w:p w:rsidR="008E3237" w:rsidRPr="008E3237" w:rsidRDefault="001B5C41" w:rsidP="008E3237">
      <w:pPr>
        <w:pStyle w:val="a8"/>
        <w:numPr>
          <w:ilvl w:val="0"/>
          <w:numId w:val="1"/>
        </w:numPr>
        <w:spacing w:line="540" w:lineRule="exact"/>
        <w:ind w:firstLineChars="0"/>
        <w:rPr>
          <w:rFonts w:ascii="黑体" w:eastAsia="黑体" w:hAnsi="黑体"/>
          <w:sz w:val="32"/>
          <w:szCs w:val="32"/>
        </w:rPr>
      </w:pPr>
      <w:r w:rsidRPr="008E3237">
        <w:rPr>
          <w:rFonts w:ascii="黑体" w:eastAsia="黑体" w:hAnsi="黑体" w:hint="eastAsia"/>
          <w:sz w:val="32"/>
          <w:szCs w:val="32"/>
        </w:rPr>
        <w:t>服务产品的梳理方法</w:t>
      </w:r>
    </w:p>
    <w:p w:rsidR="001B5C41" w:rsidRPr="008E3237" w:rsidRDefault="001B5C41" w:rsidP="008E3237">
      <w:pPr>
        <w:spacing w:line="540" w:lineRule="exact"/>
        <w:ind w:firstLineChars="200" w:firstLine="600"/>
        <w:rPr>
          <w:rFonts w:ascii="仿宋" w:eastAsia="仿宋" w:hAnsi="仿宋"/>
          <w:sz w:val="30"/>
          <w:szCs w:val="30"/>
        </w:rPr>
      </w:pPr>
      <w:r w:rsidRPr="008E3237">
        <w:rPr>
          <w:rFonts w:ascii="仿宋" w:eastAsia="仿宋" w:hAnsi="仿宋" w:hint="eastAsia"/>
          <w:sz w:val="30"/>
          <w:szCs w:val="30"/>
        </w:rPr>
        <w:t>主要是对基地</w:t>
      </w:r>
      <w:r w:rsidR="00C62C8C">
        <w:rPr>
          <w:rFonts w:ascii="仿宋" w:eastAsia="仿宋" w:hAnsi="仿宋"/>
          <w:sz w:val="30"/>
          <w:szCs w:val="30"/>
        </w:rPr>
        <w:t>、</w:t>
      </w:r>
      <w:r w:rsidR="00C62C8C">
        <w:rPr>
          <w:rFonts w:ascii="仿宋" w:eastAsia="仿宋" w:hAnsi="仿宋" w:hint="eastAsia"/>
          <w:sz w:val="30"/>
          <w:szCs w:val="30"/>
        </w:rPr>
        <w:t>领域中心</w:t>
      </w:r>
      <w:r w:rsidRPr="008E3237">
        <w:rPr>
          <w:rFonts w:ascii="仿宋" w:eastAsia="仿宋" w:hAnsi="仿宋" w:hint="eastAsia"/>
          <w:sz w:val="30"/>
          <w:szCs w:val="30"/>
        </w:rPr>
        <w:t>开放实验室内内服务价格明确、能够向社会公布的测试或研发服务产品进行梳理填报表格如下：</w:t>
      </w:r>
    </w:p>
    <w:tbl>
      <w:tblPr>
        <w:tblW w:w="8505" w:type="dxa"/>
        <w:tblInd w:w="157" w:type="dxa"/>
        <w:tblLayout w:type="fixed"/>
        <w:tblCellMar>
          <w:top w:w="15" w:type="dxa"/>
          <w:left w:w="15" w:type="dxa"/>
          <w:bottom w:w="15" w:type="dxa"/>
          <w:right w:w="15" w:type="dxa"/>
        </w:tblCellMar>
        <w:tblLook w:val="0000" w:firstRow="0" w:lastRow="0" w:firstColumn="0" w:lastColumn="0" w:noHBand="0" w:noVBand="0"/>
      </w:tblPr>
      <w:tblGrid>
        <w:gridCol w:w="567"/>
        <w:gridCol w:w="851"/>
        <w:gridCol w:w="850"/>
        <w:gridCol w:w="1843"/>
        <w:gridCol w:w="1276"/>
        <w:gridCol w:w="708"/>
        <w:gridCol w:w="993"/>
        <w:gridCol w:w="708"/>
        <w:gridCol w:w="709"/>
      </w:tblGrid>
      <w:tr w:rsidR="001B5C41" w:rsidRPr="008E3237" w:rsidTr="002713E8">
        <w:trPr>
          <w:trHeight w:val="570"/>
        </w:trPr>
        <w:tc>
          <w:tcPr>
            <w:tcW w:w="56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序号</w:t>
            </w:r>
          </w:p>
        </w:tc>
        <w:tc>
          <w:tcPr>
            <w:tcW w:w="851"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服务项目名称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服务领域</w:t>
            </w:r>
          </w:p>
        </w:tc>
        <w:tc>
          <w:tcPr>
            <w:tcW w:w="1843"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服务类别</w:t>
            </w:r>
          </w:p>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（测试/研发）</w:t>
            </w: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服务内容及参数</w:t>
            </w:r>
          </w:p>
        </w:tc>
        <w:tc>
          <w:tcPr>
            <w:tcW w:w="70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服务价格</w:t>
            </w:r>
          </w:p>
        </w:tc>
        <w:tc>
          <w:tcPr>
            <w:tcW w:w="993"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所属实</w:t>
            </w:r>
          </w:p>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验室名称</w:t>
            </w:r>
          </w:p>
        </w:tc>
        <w:tc>
          <w:tcPr>
            <w:tcW w:w="70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联系方式</w:t>
            </w:r>
          </w:p>
        </w:tc>
        <w:tc>
          <w:tcPr>
            <w:tcW w:w="709"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备注</w:t>
            </w:r>
          </w:p>
        </w:tc>
      </w:tr>
      <w:tr w:rsidR="001B5C41" w:rsidRPr="008E3237" w:rsidTr="002713E8">
        <w:trPr>
          <w:trHeight w:val="570"/>
        </w:trPr>
        <w:tc>
          <w:tcPr>
            <w:tcW w:w="56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sz w:val="30"/>
                <w:szCs w:val="30"/>
              </w:rPr>
              <w:t>1</w:t>
            </w:r>
          </w:p>
        </w:tc>
        <w:tc>
          <w:tcPr>
            <w:tcW w:w="851" w:type="dxa"/>
            <w:tcBorders>
              <w:top w:val="single" w:sz="4" w:space="0" w:color="000000"/>
              <w:left w:val="single" w:sz="4" w:space="0" w:color="000000"/>
              <w:bottom w:val="single" w:sz="4" w:space="0" w:color="000000"/>
              <w:right w:val="single" w:sz="4" w:space="0" w:color="000000"/>
            </w:tcBorders>
          </w:tcPr>
          <w:p w:rsidR="001B5C41" w:rsidRPr="008E3237" w:rsidRDefault="001B5C41" w:rsidP="002713E8">
            <w:pPr>
              <w:widowControl/>
              <w:snapToGrid w:val="0"/>
              <w:jc w:val="center"/>
              <w:textAlignment w:val="center"/>
              <w:rPr>
                <w:rFonts w:ascii="仿宋" w:eastAsia="仿宋" w:hAnsi="仿宋"/>
                <w:sz w:val="30"/>
                <w:szCs w:val="3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709" w:type="dxa"/>
            <w:tcBorders>
              <w:top w:val="single" w:sz="4" w:space="0" w:color="000000"/>
              <w:left w:val="single" w:sz="4" w:space="0" w:color="000000"/>
              <w:bottom w:val="single" w:sz="4" w:space="0" w:color="000000"/>
              <w:right w:val="single" w:sz="4" w:space="0" w:color="000000"/>
            </w:tcBorders>
          </w:tcPr>
          <w:p w:rsidR="001B5C41" w:rsidRPr="008E3237" w:rsidRDefault="001B5C41" w:rsidP="002713E8">
            <w:pPr>
              <w:widowControl/>
              <w:snapToGrid w:val="0"/>
              <w:jc w:val="center"/>
              <w:textAlignment w:val="center"/>
              <w:rPr>
                <w:rFonts w:ascii="仿宋" w:eastAsia="仿宋" w:hAnsi="仿宋"/>
                <w:sz w:val="30"/>
                <w:szCs w:val="30"/>
              </w:rPr>
            </w:pPr>
          </w:p>
        </w:tc>
      </w:tr>
      <w:tr w:rsidR="001B5C41" w:rsidRPr="008E3237" w:rsidTr="002713E8">
        <w:trPr>
          <w:trHeight w:val="570"/>
        </w:trPr>
        <w:tc>
          <w:tcPr>
            <w:tcW w:w="567"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w:t>
            </w:r>
          </w:p>
        </w:tc>
        <w:tc>
          <w:tcPr>
            <w:tcW w:w="851" w:type="dxa"/>
            <w:tcBorders>
              <w:top w:val="single" w:sz="4" w:space="0" w:color="000000"/>
              <w:left w:val="single" w:sz="4" w:space="0" w:color="000000"/>
              <w:bottom w:val="single" w:sz="4" w:space="0" w:color="000000"/>
              <w:right w:val="single" w:sz="4" w:space="0" w:color="000000"/>
            </w:tcBorders>
          </w:tcPr>
          <w:p w:rsidR="001B5C41" w:rsidRPr="008E3237" w:rsidRDefault="001B5C41" w:rsidP="002713E8">
            <w:pPr>
              <w:widowControl/>
              <w:snapToGrid w:val="0"/>
              <w:jc w:val="center"/>
              <w:textAlignment w:val="center"/>
              <w:rPr>
                <w:rFonts w:ascii="仿宋" w:eastAsia="仿宋" w:hAnsi="仿宋"/>
                <w:sz w:val="30"/>
                <w:szCs w:val="3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r w:rsidRPr="008E3237">
              <w:rPr>
                <w:rFonts w:ascii="仿宋" w:eastAsia="仿宋" w:hAnsi="仿宋" w:hint="eastAsia"/>
                <w:sz w:val="30"/>
                <w:szCs w:val="30"/>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B5C41" w:rsidRPr="008E3237" w:rsidRDefault="001B5C41" w:rsidP="002713E8">
            <w:pPr>
              <w:widowControl/>
              <w:snapToGrid w:val="0"/>
              <w:jc w:val="center"/>
              <w:textAlignment w:val="center"/>
              <w:rPr>
                <w:rFonts w:ascii="仿宋" w:eastAsia="仿宋" w:hAnsi="仿宋"/>
                <w:sz w:val="30"/>
                <w:szCs w:val="30"/>
              </w:rPr>
            </w:pPr>
          </w:p>
        </w:tc>
        <w:tc>
          <w:tcPr>
            <w:tcW w:w="709" w:type="dxa"/>
            <w:tcBorders>
              <w:top w:val="single" w:sz="4" w:space="0" w:color="000000"/>
              <w:left w:val="single" w:sz="4" w:space="0" w:color="000000"/>
              <w:bottom w:val="single" w:sz="4" w:space="0" w:color="000000"/>
              <w:right w:val="single" w:sz="4" w:space="0" w:color="000000"/>
            </w:tcBorders>
          </w:tcPr>
          <w:p w:rsidR="001B5C41" w:rsidRPr="008E3237" w:rsidRDefault="001B5C41" w:rsidP="002713E8">
            <w:pPr>
              <w:widowControl/>
              <w:snapToGrid w:val="0"/>
              <w:jc w:val="center"/>
              <w:textAlignment w:val="center"/>
              <w:rPr>
                <w:rFonts w:ascii="仿宋" w:eastAsia="仿宋" w:hAnsi="仿宋"/>
                <w:sz w:val="30"/>
                <w:szCs w:val="30"/>
              </w:rPr>
            </w:pPr>
          </w:p>
        </w:tc>
      </w:tr>
    </w:tbl>
    <w:p w:rsidR="005455A5" w:rsidRPr="008E3237" w:rsidRDefault="008E3237" w:rsidP="005455A5">
      <w:pPr>
        <w:autoSpaceDE w:val="0"/>
        <w:autoSpaceDN w:val="0"/>
        <w:adjustRightInd w:val="0"/>
        <w:spacing w:line="540" w:lineRule="exact"/>
        <w:ind w:firstLine="570"/>
        <w:rPr>
          <w:rFonts w:ascii="仿宋" w:eastAsia="仿宋" w:hAnsi="仿宋"/>
          <w:sz w:val="30"/>
          <w:szCs w:val="30"/>
        </w:rPr>
      </w:pPr>
      <w:r>
        <w:rPr>
          <w:rFonts w:ascii="仿宋" w:eastAsia="仿宋" w:hAnsi="仿宋" w:hint="eastAsia"/>
          <w:sz w:val="30"/>
          <w:szCs w:val="30"/>
        </w:rPr>
        <w:t>其中</w:t>
      </w:r>
      <w:r w:rsidR="001B5C41" w:rsidRPr="008E3237">
        <w:rPr>
          <w:rFonts w:ascii="仿宋" w:eastAsia="仿宋" w:hAnsi="仿宋" w:hint="eastAsia"/>
          <w:sz w:val="30"/>
          <w:szCs w:val="30"/>
        </w:rPr>
        <w:t>服务类别为测试的服务项目，请注明是否通过C</w:t>
      </w:r>
      <w:r w:rsidR="001B5C41" w:rsidRPr="008E3237">
        <w:rPr>
          <w:rFonts w:ascii="仿宋" w:eastAsia="仿宋" w:hAnsi="仿宋"/>
          <w:sz w:val="30"/>
          <w:szCs w:val="30"/>
        </w:rPr>
        <w:t>NAS/CMA</w:t>
      </w:r>
      <w:r w:rsidR="001B5C41" w:rsidRPr="008E3237">
        <w:rPr>
          <w:rFonts w:ascii="仿宋" w:eastAsia="仿宋" w:hAnsi="仿宋" w:hint="eastAsia"/>
          <w:sz w:val="30"/>
          <w:szCs w:val="30"/>
        </w:rPr>
        <w:t>认证。</w:t>
      </w:r>
      <w:r w:rsidR="005455A5" w:rsidRPr="008E3237">
        <w:rPr>
          <w:rFonts w:ascii="仿宋" w:eastAsia="仿宋" w:hAnsi="仿宋" w:hint="eastAsia"/>
          <w:sz w:val="30"/>
          <w:szCs w:val="30"/>
        </w:rPr>
        <w:t>其中科技金融领域中心提供的服务产品为：不少于20个可为中小微企业提供金融服务产品（应包括贷款、投贷联动、保险及再保险、产业投资基金，具体为：产品名称、产品所属单位、产品特点、产品适用的条件）。</w:t>
      </w:r>
    </w:p>
    <w:p w:rsidR="001B5C41" w:rsidRPr="008E3237" w:rsidRDefault="001B5C41" w:rsidP="001B5C41">
      <w:pPr>
        <w:autoSpaceDE w:val="0"/>
        <w:autoSpaceDN w:val="0"/>
        <w:adjustRightInd w:val="0"/>
        <w:spacing w:line="540" w:lineRule="exact"/>
        <w:ind w:firstLine="570"/>
        <w:rPr>
          <w:rFonts w:ascii="仿宋" w:eastAsia="仿宋" w:hAnsi="仿宋"/>
          <w:sz w:val="30"/>
          <w:szCs w:val="30"/>
        </w:rPr>
      </w:pPr>
    </w:p>
    <w:sectPr w:rsidR="001B5C41" w:rsidRPr="008E323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F6B" w:rsidRDefault="00A63F6B" w:rsidP="005455A5">
      <w:r>
        <w:separator/>
      </w:r>
    </w:p>
  </w:endnote>
  <w:endnote w:type="continuationSeparator" w:id="0">
    <w:p w:rsidR="00A63F6B" w:rsidRDefault="00A63F6B" w:rsidP="0054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237540"/>
      <w:docPartObj>
        <w:docPartGallery w:val="Page Numbers (Bottom of Page)"/>
        <w:docPartUnique/>
      </w:docPartObj>
    </w:sdtPr>
    <w:sdtEndPr/>
    <w:sdtContent>
      <w:p w:rsidR="005455A5" w:rsidRDefault="005455A5">
        <w:pPr>
          <w:pStyle w:val="a7"/>
          <w:jc w:val="center"/>
        </w:pPr>
        <w:r>
          <w:fldChar w:fldCharType="begin"/>
        </w:r>
        <w:r>
          <w:instrText>PAGE   \* MERGEFORMAT</w:instrText>
        </w:r>
        <w:r>
          <w:fldChar w:fldCharType="separate"/>
        </w:r>
        <w:r w:rsidR="00A63F6B" w:rsidRPr="00A63F6B">
          <w:rPr>
            <w:noProof/>
            <w:lang w:val="zh-CN"/>
          </w:rPr>
          <w:t>1</w:t>
        </w:r>
        <w:r>
          <w:fldChar w:fldCharType="end"/>
        </w:r>
      </w:p>
    </w:sdtContent>
  </w:sdt>
  <w:p w:rsidR="005455A5" w:rsidRDefault="005455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F6B" w:rsidRDefault="00A63F6B" w:rsidP="005455A5">
      <w:r>
        <w:separator/>
      </w:r>
    </w:p>
  </w:footnote>
  <w:footnote w:type="continuationSeparator" w:id="0">
    <w:p w:rsidR="00A63F6B" w:rsidRDefault="00A63F6B" w:rsidP="00545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254B"/>
    <w:multiLevelType w:val="hybridMultilevel"/>
    <w:tmpl w:val="9940D79A"/>
    <w:lvl w:ilvl="0" w:tplc="DC42741A">
      <w:start w:val="1"/>
      <w:numFmt w:val="japaneseCounting"/>
      <w:lvlText w:val="%1、"/>
      <w:lvlJc w:val="left"/>
      <w:pPr>
        <w:ind w:left="1313" w:hanging="720"/>
      </w:pPr>
      <w:rPr>
        <w:rFonts w:hint="default"/>
      </w:rPr>
    </w:lvl>
    <w:lvl w:ilvl="1" w:tplc="04090019" w:tentative="1">
      <w:start w:val="1"/>
      <w:numFmt w:val="lowerLetter"/>
      <w:lvlText w:val="%2)"/>
      <w:lvlJc w:val="left"/>
      <w:pPr>
        <w:ind w:left="1433" w:hanging="420"/>
      </w:pPr>
    </w:lvl>
    <w:lvl w:ilvl="2" w:tplc="0409001B" w:tentative="1">
      <w:start w:val="1"/>
      <w:numFmt w:val="lowerRoman"/>
      <w:lvlText w:val="%3."/>
      <w:lvlJc w:val="right"/>
      <w:pPr>
        <w:ind w:left="1853" w:hanging="420"/>
      </w:pPr>
    </w:lvl>
    <w:lvl w:ilvl="3" w:tplc="0409000F" w:tentative="1">
      <w:start w:val="1"/>
      <w:numFmt w:val="decimal"/>
      <w:lvlText w:val="%4."/>
      <w:lvlJc w:val="left"/>
      <w:pPr>
        <w:ind w:left="2273" w:hanging="420"/>
      </w:pPr>
    </w:lvl>
    <w:lvl w:ilvl="4" w:tplc="04090019" w:tentative="1">
      <w:start w:val="1"/>
      <w:numFmt w:val="lowerLetter"/>
      <w:lvlText w:val="%5)"/>
      <w:lvlJc w:val="left"/>
      <w:pPr>
        <w:ind w:left="2693" w:hanging="420"/>
      </w:pPr>
    </w:lvl>
    <w:lvl w:ilvl="5" w:tplc="0409001B" w:tentative="1">
      <w:start w:val="1"/>
      <w:numFmt w:val="lowerRoman"/>
      <w:lvlText w:val="%6."/>
      <w:lvlJc w:val="right"/>
      <w:pPr>
        <w:ind w:left="3113" w:hanging="420"/>
      </w:pPr>
    </w:lvl>
    <w:lvl w:ilvl="6" w:tplc="0409000F" w:tentative="1">
      <w:start w:val="1"/>
      <w:numFmt w:val="decimal"/>
      <w:lvlText w:val="%7."/>
      <w:lvlJc w:val="left"/>
      <w:pPr>
        <w:ind w:left="3533" w:hanging="420"/>
      </w:pPr>
    </w:lvl>
    <w:lvl w:ilvl="7" w:tplc="04090019" w:tentative="1">
      <w:start w:val="1"/>
      <w:numFmt w:val="lowerLetter"/>
      <w:lvlText w:val="%8)"/>
      <w:lvlJc w:val="left"/>
      <w:pPr>
        <w:ind w:left="3953" w:hanging="420"/>
      </w:pPr>
    </w:lvl>
    <w:lvl w:ilvl="8" w:tplc="0409001B" w:tentative="1">
      <w:start w:val="1"/>
      <w:numFmt w:val="lowerRoman"/>
      <w:lvlText w:val="%9."/>
      <w:lvlJc w:val="right"/>
      <w:pPr>
        <w:ind w:left="4373"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管理员">
    <w15:presenceInfo w15:providerId="None" w15:userId="管理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41"/>
    <w:rsid w:val="001B5C41"/>
    <w:rsid w:val="0038078E"/>
    <w:rsid w:val="00425CBE"/>
    <w:rsid w:val="005455A5"/>
    <w:rsid w:val="00566ABE"/>
    <w:rsid w:val="006977BB"/>
    <w:rsid w:val="007F2476"/>
    <w:rsid w:val="008560E8"/>
    <w:rsid w:val="008E3237"/>
    <w:rsid w:val="00931B62"/>
    <w:rsid w:val="009600DD"/>
    <w:rsid w:val="00A63F6B"/>
    <w:rsid w:val="00A94272"/>
    <w:rsid w:val="00AE4B76"/>
    <w:rsid w:val="00C62C8C"/>
    <w:rsid w:val="00C76E4F"/>
    <w:rsid w:val="00D71155"/>
    <w:rsid w:val="00DB730E"/>
    <w:rsid w:val="00EB0515"/>
    <w:rsid w:val="00ED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1B5C41"/>
    <w:rPr>
      <w:sz w:val="21"/>
      <w:szCs w:val="21"/>
    </w:rPr>
  </w:style>
  <w:style w:type="paragraph" w:styleId="a4">
    <w:name w:val="annotation text"/>
    <w:basedOn w:val="a"/>
    <w:link w:val="Char"/>
    <w:rsid w:val="001B5C41"/>
    <w:pPr>
      <w:jc w:val="left"/>
    </w:pPr>
    <w:rPr>
      <w:lang w:val="x-none" w:eastAsia="x-none"/>
    </w:rPr>
  </w:style>
  <w:style w:type="character" w:customStyle="1" w:styleId="Char">
    <w:name w:val="批注文字 Char"/>
    <w:basedOn w:val="a0"/>
    <w:link w:val="a4"/>
    <w:rsid w:val="001B5C41"/>
    <w:rPr>
      <w:rFonts w:ascii="Times New Roman" w:eastAsia="宋体" w:hAnsi="Times New Roman" w:cs="Times New Roman"/>
      <w:szCs w:val="24"/>
      <w:lang w:val="x-none" w:eastAsia="x-none"/>
    </w:rPr>
  </w:style>
  <w:style w:type="paragraph" w:styleId="a5">
    <w:name w:val="Balloon Text"/>
    <w:basedOn w:val="a"/>
    <w:link w:val="Char0"/>
    <w:uiPriority w:val="99"/>
    <w:semiHidden/>
    <w:unhideWhenUsed/>
    <w:rsid w:val="001B5C41"/>
    <w:rPr>
      <w:sz w:val="18"/>
      <w:szCs w:val="18"/>
    </w:rPr>
  </w:style>
  <w:style w:type="character" w:customStyle="1" w:styleId="Char0">
    <w:name w:val="批注框文本 Char"/>
    <w:basedOn w:val="a0"/>
    <w:link w:val="a5"/>
    <w:uiPriority w:val="99"/>
    <w:semiHidden/>
    <w:rsid w:val="001B5C41"/>
    <w:rPr>
      <w:rFonts w:ascii="Times New Roman" w:eastAsia="宋体" w:hAnsi="Times New Roman" w:cs="Times New Roman"/>
      <w:sz w:val="18"/>
      <w:szCs w:val="18"/>
    </w:rPr>
  </w:style>
  <w:style w:type="paragraph" w:styleId="a6">
    <w:name w:val="header"/>
    <w:basedOn w:val="a"/>
    <w:link w:val="Char1"/>
    <w:uiPriority w:val="99"/>
    <w:unhideWhenUsed/>
    <w:rsid w:val="005455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455A5"/>
    <w:rPr>
      <w:rFonts w:ascii="Times New Roman" w:eastAsia="宋体" w:hAnsi="Times New Roman" w:cs="Times New Roman"/>
      <w:sz w:val="18"/>
      <w:szCs w:val="18"/>
    </w:rPr>
  </w:style>
  <w:style w:type="paragraph" w:styleId="a7">
    <w:name w:val="footer"/>
    <w:basedOn w:val="a"/>
    <w:link w:val="Char2"/>
    <w:uiPriority w:val="99"/>
    <w:unhideWhenUsed/>
    <w:rsid w:val="005455A5"/>
    <w:pPr>
      <w:tabs>
        <w:tab w:val="center" w:pos="4153"/>
        <w:tab w:val="right" w:pos="8306"/>
      </w:tabs>
      <w:snapToGrid w:val="0"/>
      <w:jc w:val="left"/>
    </w:pPr>
    <w:rPr>
      <w:sz w:val="18"/>
      <w:szCs w:val="18"/>
    </w:rPr>
  </w:style>
  <w:style w:type="character" w:customStyle="1" w:styleId="Char2">
    <w:name w:val="页脚 Char"/>
    <w:basedOn w:val="a0"/>
    <w:link w:val="a7"/>
    <w:uiPriority w:val="99"/>
    <w:rsid w:val="005455A5"/>
    <w:rPr>
      <w:rFonts w:ascii="Times New Roman" w:eastAsia="宋体" w:hAnsi="Times New Roman" w:cs="Times New Roman"/>
      <w:sz w:val="18"/>
      <w:szCs w:val="18"/>
    </w:rPr>
  </w:style>
  <w:style w:type="paragraph" w:styleId="a8">
    <w:name w:val="List Paragraph"/>
    <w:basedOn w:val="a"/>
    <w:uiPriority w:val="34"/>
    <w:qFormat/>
    <w:rsid w:val="008E3237"/>
    <w:pPr>
      <w:ind w:firstLineChars="200" w:firstLine="420"/>
    </w:pPr>
  </w:style>
  <w:style w:type="paragraph" w:styleId="a9">
    <w:name w:val="annotation subject"/>
    <w:basedOn w:val="a4"/>
    <w:next w:val="a4"/>
    <w:link w:val="Char3"/>
    <w:uiPriority w:val="99"/>
    <w:semiHidden/>
    <w:unhideWhenUsed/>
    <w:rsid w:val="00425CBE"/>
    <w:rPr>
      <w:b/>
      <w:bCs/>
      <w:lang w:val="en-US" w:eastAsia="zh-CN"/>
    </w:rPr>
  </w:style>
  <w:style w:type="character" w:customStyle="1" w:styleId="Char3">
    <w:name w:val="批注主题 Char"/>
    <w:basedOn w:val="Char"/>
    <w:link w:val="a9"/>
    <w:uiPriority w:val="99"/>
    <w:semiHidden/>
    <w:rsid w:val="00425CBE"/>
    <w:rPr>
      <w:rFonts w:ascii="Times New Roman" w:eastAsia="宋体" w:hAnsi="Times New Roman" w:cs="Times New Roman"/>
      <w:b/>
      <w:bCs/>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1B5C41"/>
    <w:rPr>
      <w:sz w:val="21"/>
      <w:szCs w:val="21"/>
    </w:rPr>
  </w:style>
  <w:style w:type="paragraph" w:styleId="a4">
    <w:name w:val="annotation text"/>
    <w:basedOn w:val="a"/>
    <w:link w:val="Char"/>
    <w:rsid w:val="001B5C41"/>
    <w:pPr>
      <w:jc w:val="left"/>
    </w:pPr>
    <w:rPr>
      <w:lang w:val="x-none" w:eastAsia="x-none"/>
    </w:rPr>
  </w:style>
  <w:style w:type="character" w:customStyle="1" w:styleId="Char">
    <w:name w:val="批注文字 Char"/>
    <w:basedOn w:val="a0"/>
    <w:link w:val="a4"/>
    <w:rsid w:val="001B5C41"/>
    <w:rPr>
      <w:rFonts w:ascii="Times New Roman" w:eastAsia="宋体" w:hAnsi="Times New Roman" w:cs="Times New Roman"/>
      <w:szCs w:val="24"/>
      <w:lang w:val="x-none" w:eastAsia="x-none"/>
    </w:rPr>
  </w:style>
  <w:style w:type="paragraph" w:styleId="a5">
    <w:name w:val="Balloon Text"/>
    <w:basedOn w:val="a"/>
    <w:link w:val="Char0"/>
    <w:uiPriority w:val="99"/>
    <w:semiHidden/>
    <w:unhideWhenUsed/>
    <w:rsid w:val="001B5C41"/>
    <w:rPr>
      <w:sz w:val="18"/>
      <w:szCs w:val="18"/>
    </w:rPr>
  </w:style>
  <w:style w:type="character" w:customStyle="1" w:styleId="Char0">
    <w:name w:val="批注框文本 Char"/>
    <w:basedOn w:val="a0"/>
    <w:link w:val="a5"/>
    <w:uiPriority w:val="99"/>
    <w:semiHidden/>
    <w:rsid w:val="001B5C41"/>
    <w:rPr>
      <w:rFonts w:ascii="Times New Roman" w:eastAsia="宋体" w:hAnsi="Times New Roman" w:cs="Times New Roman"/>
      <w:sz w:val="18"/>
      <w:szCs w:val="18"/>
    </w:rPr>
  </w:style>
  <w:style w:type="paragraph" w:styleId="a6">
    <w:name w:val="header"/>
    <w:basedOn w:val="a"/>
    <w:link w:val="Char1"/>
    <w:uiPriority w:val="99"/>
    <w:unhideWhenUsed/>
    <w:rsid w:val="005455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455A5"/>
    <w:rPr>
      <w:rFonts w:ascii="Times New Roman" w:eastAsia="宋体" w:hAnsi="Times New Roman" w:cs="Times New Roman"/>
      <w:sz w:val="18"/>
      <w:szCs w:val="18"/>
    </w:rPr>
  </w:style>
  <w:style w:type="paragraph" w:styleId="a7">
    <w:name w:val="footer"/>
    <w:basedOn w:val="a"/>
    <w:link w:val="Char2"/>
    <w:uiPriority w:val="99"/>
    <w:unhideWhenUsed/>
    <w:rsid w:val="005455A5"/>
    <w:pPr>
      <w:tabs>
        <w:tab w:val="center" w:pos="4153"/>
        <w:tab w:val="right" w:pos="8306"/>
      </w:tabs>
      <w:snapToGrid w:val="0"/>
      <w:jc w:val="left"/>
    </w:pPr>
    <w:rPr>
      <w:sz w:val="18"/>
      <w:szCs w:val="18"/>
    </w:rPr>
  </w:style>
  <w:style w:type="character" w:customStyle="1" w:styleId="Char2">
    <w:name w:val="页脚 Char"/>
    <w:basedOn w:val="a0"/>
    <w:link w:val="a7"/>
    <w:uiPriority w:val="99"/>
    <w:rsid w:val="005455A5"/>
    <w:rPr>
      <w:rFonts w:ascii="Times New Roman" w:eastAsia="宋体" w:hAnsi="Times New Roman" w:cs="Times New Roman"/>
      <w:sz w:val="18"/>
      <w:szCs w:val="18"/>
    </w:rPr>
  </w:style>
  <w:style w:type="paragraph" w:styleId="a8">
    <w:name w:val="List Paragraph"/>
    <w:basedOn w:val="a"/>
    <w:uiPriority w:val="34"/>
    <w:qFormat/>
    <w:rsid w:val="008E3237"/>
    <w:pPr>
      <w:ind w:firstLineChars="200" w:firstLine="420"/>
    </w:pPr>
  </w:style>
  <w:style w:type="paragraph" w:styleId="a9">
    <w:name w:val="annotation subject"/>
    <w:basedOn w:val="a4"/>
    <w:next w:val="a4"/>
    <w:link w:val="Char3"/>
    <w:uiPriority w:val="99"/>
    <w:semiHidden/>
    <w:unhideWhenUsed/>
    <w:rsid w:val="00425CBE"/>
    <w:rPr>
      <w:b/>
      <w:bCs/>
      <w:lang w:val="en-US" w:eastAsia="zh-CN"/>
    </w:rPr>
  </w:style>
  <w:style w:type="character" w:customStyle="1" w:styleId="Char3">
    <w:name w:val="批注主题 Char"/>
    <w:basedOn w:val="Char"/>
    <w:link w:val="a9"/>
    <w:uiPriority w:val="99"/>
    <w:semiHidden/>
    <w:rsid w:val="00425CBE"/>
    <w:rPr>
      <w:rFonts w:ascii="Times New Roman" w:eastAsia="宋体"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dc:creator>
  <cp:keywords/>
  <dc:description/>
  <cp:lastModifiedBy>PC</cp:lastModifiedBy>
  <cp:revision>5</cp:revision>
  <dcterms:created xsi:type="dcterms:W3CDTF">2020-03-30T01:45:00Z</dcterms:created>
  <dcterms:modified xsi:type="dcterms:W3CDTF">2020-04-09T02:58:00Z</dcterms:modified>
</cp:coreProperties>
</file>